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4804"/>
        <w:gridCol w:w="371"/>
        <w:gridCol w:w="1539"/>
        <w:gridCol w:w="3566"/>
      </w:tblGrid>
      <w:tr w:rsidR="00E63558" w:rsidRPr="002108F0" w:rsidTr="002447EF">
        <w:trPr>
          <w:trHeight w:val="313"/>
        </w:trPr>
        <w:tc>
          <w:tcPr>
            <w:tcW w:w="10280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397DA5">
              <w:rPr>
                <w:rFonts w:ascii="Times New Roman" w:hAnsi="Times New Roman"/>
                <w:b/>
                <w:lang w:val="ru-RU"/>
              </w:rPr>
              <w:t>№ 67-08-09</w:t>
            </w:r>
          </w:p>
        </w:tc>
      </w:tr>
      <w:tr w:rsidR="000E79A6" w:rsidRPr="002108F0" w:rsidTr="002447EF">
        <w:trPr>
          <w:trHeight w:val="2366"/>
        </w:trPr>
        <w:tc>
          <w:tcPr>
            <w:tcW w:w="5175" w:type="dxa"/>
            <w:gridSpan w:val="2"/>
          </w:tcPr>
          <w:p w:rsidR="001E0280" w:rsidRPr="002108F0" w:rsidRDefault="009214F0" w:rsidP="00BA01E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19.95pt;margin-top:27.45pt;width:0;height:26.25pt;z-index:251663360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30" type="#_x0000_t32" style="position:absolute;left:0;text-align:left;margin-left:62.2pt;margin-top:27.45pt;width:57.75pt;height:0;z-index:251662336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9" type="#_x0000_t32" style="position:absolute;left:0;text-align:left;margin-left:106.3pt;margin-top:53.7pt;width:13.5pt;height:0;z-index:251661312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8" type="#_x0000_t32" style="position:absolute;left:0;text-align:left;margin-left:106.3pt;margin-top:53.7pt;width:0;height:18pt;flip:y;z-index:251660288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7" type="#_x0000_t32" style="position:absolute;left:0;text-align:left;margin-left:62.2pt;margin-top:71.7pt;width:44.25pt;height:0;z-index:251659264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6" type="#_x0000_t32" style="position:absolute;left:0;text-align:left;margin-left:61.45pt;margin-top:27.45pt;width:.75pt;height:44.25pt;z-index:251658240;mso-position-horizontal-relative:text;mso-position-vertical-relative:text" o:connectortype="straight" strokecolor="red" strokeweight="2pt"/>
              </w:pict>
            </w:r>
            <w:r w:rsidR="00F60B5C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305175" cy="1485900"/>
                  <wp:effectExtent l="0" t="0" r="0" b="0"/>
                  <wp:docPr id="2" name="Рисунок 2" descr="C:\Users\TeemoshenkovaLN\Documents\ReceivedFiles\Fedysova TA\Прони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emoshenkovaLN\Documents\ReceivedFiles\Fedysova TA\Прони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  <w:gridSpan w:val="2"/>
          </w:tcPr>
          <w:p w:rsidR="000E79A6" w:rsidRPr="002108F0" w:rsidRDefault="009D0F5C" w:rsidP="001E028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3257550" cy="1485899"/>
                  <wp:effectExtent l="0" t="0" r="0" b="0"/>
                  <wp:docPr id="4" name="Рисунок 4" descr="C:\Users\TeemoshenkovaLN\Documents\ReceivedFiles\Мелик-Адамян А.А\IMG_20211115_094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emoshenkovaLN\Documents\ReceivedFiles\Мелик-Адамян А.А\IMG_20211115_094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000" cy="148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760DEE" w:rsidTr="002447EF">
        <w:trPr>
          <w:trHeight w:val="270"/>
        </w:trPr>
        <w:tc>
          <w:tcPr>
            <w:tcW w:w="4661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19" w:type="dxa"/>
            <w:gridSpan w:val="3"/>
            <w:tcBorders>
              <w:bottom w:val="single" w:sz="4" w:space="0" w:color="auto"/>
            </w:tcBorders>
          </w:tcPr>
          <w:p w:rsidR="007F705B" w:rsidRPr="002E1AF9" w:rsidRDefault="007F2F6C" w:rsidP="00F342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F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r w:rsidR="00F342C1">
              <w:rPr>
                <w:rFonts w:ascii="Times New Roman" w:hAnsi="Times New Roman"/>
                <w:sz w:val="24"/>
                <w:szCs w:val="24"/>
                <w:lang w:val="ru-RU"/>
              </w:rPr>
              <w:t>Ельнинский район, д.Пронино</w:t>
            </w:r>
            <w:r w:rsidR="006375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(67:08:0740101:160)</w:t>
            </w:r>
          </w:p>
        </w:tc>
      </w:tr>
      <w:tr w:rsidR="00DE4FC7" w:rsidRPr="00760DEE" w:rsidTr="002447EF">
        <w:trPr>
          <w:trHeight w:val="270"/>
        </w:trPr>
        <w:tc>
          <w:tcPr>
            <w:tcW w:w="4661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7F2F6C">
              <w:rPr>
                <w:rFonts w:ascii="Times New Roman" w:hAnsi="Times New Roman"/>
                <w:lang w:val="ru-RU"/>
              </w:rPr>
              <w:t>населенных пунктов.</w:t>
            </w:r>
          </w:p>
          <w:p w:rsidR="00987CB0" w:rsidRPr="003B43E6" w:rsidRDefault="007F2F6C" w:rsidP="00F342C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Для </w:t>
            </w:r>
            <w:r w:rsidR="00F342C1">
              <w:rPr>
                <w:rFonts w:ascii="Times New Roman" w:hAnsi="Times New Roman"/>
                <w:lang w:val="ru-RU"/>
              </w:rPr>
              <w:t>общественно-деловых</w:t>
            </w:r>
            <w:r w:rsidR="009C7992">
              <w:rPr>
                <w:rFonts w:ascii="Times New Roman" w:hAnsi="Times New Roman"/>
                <w:lang w:val="ru-RU"/>
              </w:rPr>
              <w:t xml:space="preserve"> целей</w:t>
            </w:r>
          </w:p>
        </w:tc>
      </w:tr>
      <w:tr w:rsidR="00DE4FC7" w:rsidRPr="003B43E6" w:rsidTr="002447EF">
        <w:trPr>
          <w:trHeight w:val="270"/>
        </w:trPr>
        <w:tc>
          <w:tcPr>
            <w:tcW w:w="4661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DE4FC7" w:rsidRPr="003B43E6" w:rsidRDefault="00877183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2447EF">
        <w:trPr>
          <w:trHeight w:val="270"/>
        </w:trPr>
        <w:tc>
          <w:tcPr>
            <w:tcW w:w="4661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FC352D" w:rsidRPr="003B43E6" w:rsidRDefault="000B361C" w:rsidP="000B361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</w:t>
            </w:r>
            <w:r w:rsidR="00877183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 xml:space="preserve"> разграничена</w:t>
            </w:r>
          </w:p>
        </w:tc>
      </w:tr>
      <w:tr w:rsidR="00966C23" w:rsidRPr="00F342C1" w:rsidTr="002447EF">
        <w:trPr>
          <w:trHeight w:val="270"/>
        </w:trPr>
        <w:tc>
          <w:tcPr>
            <w:tcW w:w="4661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DD2809" w:rsidRPr="003B43E6" w:rsidRDefault="00DD2809" w:rsidP="0087718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77183">
              <w:rPr>
                <w:rFonts w:ascii="Times New Roman" w:hAnsi="Times New Roman"/>
                <w:lang w:val="ru-RU"/>
              </w:rPr>
              <w:t>752</w:t>
            </w:r>
            <w:r w:rsidR="00760DEE">
              <w:rPr>
                <w:rFonts w:ascii="Times New Roman" w:hAnsi="Times New Roman"/>
                <w:lang w:val="ru-RU"/>
              </w:rPr>
              <w:t xml:space="preserve"> </w:t>
            </w:r>
            <w:r w:rsidR="00877183">
              <w:rPr>
                <w:rFonts w:ascii="Times New Roman" w:hAnsi="Times New Roman"/>
                <w:lang w:val="ru-RU"/>
              </w:rPr>
              <w:t>625</w:t>
            </w:r>
            <w:r w:rsidR="00C46DFF">
              <w:rPr>
                <w:rFonts w:ascii="Times New Roman" w:hAnsi="Times New Roman"/>
                <w:lang w:val="ru-RU"/>
              </w:rPr>
              <w:t>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760DEE" w:rsidTr="002447EF">
        <w:trPr>
          <w:trHeight w:val="270"/>
        </w:trPr>
        <w:tc>
          <w:tcPr>
            <w:tcW w:w="4661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966C23" w:rsidRPr="00DE3EBC" w:rsidRDefault="00877183" w:rsidP="00DE3E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Нежилое здание</w:t>
            </w:r>
            <w:r w:rsidR="00AC4139">
              <w:rPr>
                <w:rFonts w:ascii="Times New Roman" w:hAnsi="Times New Roman"/>
                <w:lang w:val="ru-RU"/>
              </w:rPr>
              <w:t xml:space="preserve"> (кирпичное, 2 этажа,</w:t>
            </w:r>
            <w:r w:rsidR="00760DEE">
              <w:rPr>
                <w:rFonts w:ascii="Times New Roman" w:hAnsi="Times New Roman"/>
                <w:lang w:val="ru-RU"/>
              </w:rPr>
              <w:t xml:space="preserve"> высота 3 м.)</w:t>
            </w:r>
            <w:r w:rsidR="00AC4139">
              <w:rPr>
                <w:rFonts w:ascii="Times New Roman" w:hAnsi="Times New Roman"/>
                <w:lang w:val="ru-RU"/>
              </w:rPr>
              <w:t xml:space="preserve"> площадь 945 кв.м</w:t>
            </w:r>
          </w:p>
        </w:tc>
      </w:tr>
      <w:tr w:rsidR="00966C23" w:rsidRPr="00760DEE" w:rsidTr="002447EF">
        <w:trPr>
          <w:trHeight w:val="270"/>
        </w:trPr>
        <w:tc>
          <w:tcPr>
            <w:tcW w:w="4661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957FE7" w:rsidRDefault="002239A5" w:rsidP="00CE7CB6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B07AB4" w:rsidRPr="00B07AB4">
              <w:rPr>
                <w:rFonts w:ascii="Times New Roman" w:hAnsi="Times New Roman"/>
                <w:lang w:val="ru-RU"/>
              </w:rPr>
              <w:t xml:space="preserve">газопровод </w:t>
            </w:r>
            <w:r w:rsidR="00AC4139">
              <w:rPr>
                <w:rFonts w:ascii="Times New Roman" w:hAnsi="Times New Roman"/>
                <w:lang w:val="ru-RU"/>
              </w:rPr>
              <w:t>низкого</w:t>
            </w:r>
            <w:r w:rsidR="00B07AB4" w:rsidRPr="00B07AB4">
              <w:rPr>
                <w:rFonts w:ascii="Times New Roman" w:hAnsi="Times New Roman"/>
                <w:lang w:val="ru-RU"/>
              </w:rPr>
              <w:t xml:space="preserve"> давления, точка подключения  </w:t>
            </w:r>
            <w:r w:rsidR="00AC4139">
              <w:rPr>
                <w:rFonts w:ascii="Times New Roman" w:hAnsi="Times New Roman"/>
                <w:lang w:val="ru-RU"/>
              </w:rPr>
              <w:t>на расстоянии 15</w:t>
            </w:r>
            <w:r w:rsidR="00B07AB4" w:rsidRPr="00B07AB4">
              <w:rPr>
                <w:rFonts w:ascii="Times New Roman" w:hAnsi="Times New Roman"/>
                <w:lang w:val="ru-RU"/>
              </w:rPr>
              <w:t>0м, максимал</w:t>
            </w:r>
            <w:r w:rsidR="00FA29E9">
              <w:rPr>
                <w:rFonts w:ascii="Times New Roman" w:hAnsi="Times New Roman"/>
                <w:lang w:val="ru-RU"/>
              </w:rPr>
              <w:t xml:space="preserve">ьная мощность 2500 куб. м в час, </w:t>
            </w:r>
            <w:r w:rsidR="00B07AB4" w:rsidRPr="00B07AB4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 xml:space="preserve">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5242C9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581E0D" w:rsidP="00CE7CB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Электроснабжение:</w:t>
            </w:r>
            <w:r w:rsidR="00FA29E9" w:rsidRPr="00FA29E9">
              <w:rPr>
                <w:rFonts w:ascii="Times New Roman" w:hAnsi="Times New Roman"/>
                <w:lang w:val="ru-RU"/>
              </w:rPr>
              <w:t xml:space="preserve"> </w:t>
            </w:r>
            <w:r w:rsidRPr="00581E0D">
              <w:rPr>
                <w:rFonts w:ascii="Times New Roman" w:hAnsi="Times New Roman"/>
                <w:lang w:val="ru-RU"/>
              </w:rPr>
              <w:t>ПС Пронино 10/35 кВт, резерв мощности для технологического присоединения 4,88 МВА, расстояние от центра питания до границы земельного</w:t>
            </w:r>
            <w:r>
              <w:rPr>
                <w:rFonts w:ascii="Times New Roman" w:hAnsi="Times New Roman"/>
                <w:lang w:val="ru-RU"/>
              </w:rPr>
              <w:t xml:space="preserve"> участка по прямой -0,5 км.</w:t>
            </w:r>
            <w:r w:rsidRPr="00581E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Свободные мощности 1000 кВт,</w:t>
            </w:r>
            <w:r w:rsidR="009D02C6">
              <w:rPr>
                <w:rFonts w:ascii="Times New Roman" w:hAnsi="Times New Roman"/>
                <w:lang w:val="ru-RU"/>
              </w:rPr>
              <w:t xml:space="preserve"> </w:t>
            </w:r>
            <w:r w:rsidR="002239A5"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CE7CB6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Водоснабжение: </w:t>
            </w:r>
            <w:r w:rsidR="005D7E42">
              <w:rPr>
                <w:rFonts w:ascii="Times New Roman" w:hAnsi="Times New Roman"/>
                <w:lang w:val="ru-RU"/>
              </w:rPr>
              <w:t>автономное</w:t>
            </w:r>
            <w:r w:rsidR="00C87520">
              <w:rPr>
                <w:rFonts w:ascii="Times New Roman" w:hAnsi="Times New Roman"/>
                <w:lang w:val="ru-RU"/>
              </w:rPr>
              <w:t xml:space="preserve">. Водопроводные сети г.Ельня </w:t>
            </w:r>
            <w:r w:rsidR="00DC2ABC">
              <w:rPr>
                <w:rFonts w:ascii="Times New Roman" w:hAnsi="Times New Roman"/>
                <w:lang w:val="ru-RU"/>
              </w:rPr>
              <w:t>–центральное водоснабжение,</w:t>
            </w:r>
            <w:r w:rsidR="00DE7A4C">
              <w:rPr>
                <w:rFonts w:ascii="Times New Roman" w:hAnsi="Times New Roman"/>
                <w:lang w:val="ru-RU"/>
              </w:rPr>
              <w:t xml:space="preserve"> водонапорная башня</w:t>
            </w:r>
            <w:r w:rsidR="00DC2ABC">
              <w:rPr>
                <w:rFonts w:ascii="Times New Roman" w:hAnsi="Times New Roman"/>
                <w:lang w:val="ru-RU"/>
              </w:rPr>
              <w:t xml:space="preserve"> на </w:t>
            </w:r>
            <w:r w:rsidR="00C87520">
              <w:rPr>
                <w:rFonts w:ascii="Times New Roman" w:hAnsi="Times New Roman"/>
                <w:lang w:val="ru-RU"/>
              </w:rPr>
              <w:t xml:space="preserve"> расстоянии 9км</w:t>
            </w:r>
            <w:r w:rsidR="00282061">
              <w:rPr>
                <w:rFonts w:ascii="Times New Roman" w:hAnsi="Times New Roman"/>
                <w:lang w:val="ru-RU"/>
              </w:rPr>
              <w:t>. Н</w:t>
            </w:r>
            <w:r w:rsidR="00C87520">
              <w:rPr>
                <w:rFonts w:ascii="Times New Roman" w:hAnsi="Times New Roman"/>
                <w:lang w:val="ru-RU"/>
              </w:rPr>
              <w:t>еобходимо строительство</w:t>
            </w:r>
            <w:r w:rsidR="00282061">
              <w:rPr>
                <w:rFonts w:ascii="Times New Roman" w:hAnsi="Times New Roman"/>
                <w:lang w:val="ru-RU"/>
              </w:rPr>
              <w:t>.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5242C9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DE7A4C" w:rsidRDefault="007D36B2" w:rsidP="00CE7CB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Водоотведение:  </w:t>
            </w:r>
            <w:r w:rsidR="002239A5"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4E499A">
              <w:rPr>
                <w:rFonts w:ascii="Times New Roman" w:hAnsi="Times New Roman"/>
                <w:lang w:val="ru-RU"/>
              </w:rPr>
              <w:t>отсутствует,</w:t>
            </w:r>
            <w:r w:rsidR="004C5288">
              <w:rPr>
                <w:rFonts w:ascii="Times New Roman" w:hAnsi="Times New Roman"/>
                <w:lang w:val="ru-RU"/>
              </w:rPr>
              <w:t xml:space="preserve"> </w:t>
            </w:r>
            <w:r w:rsidR="00DE7A4C" w:rsidRPr="00DE7A4C">
              <w:rPr>
                <w:rFonts w:ascii="Times New Roman" w:hAnsi="Times New Roman"/>
                <w:lang w:val="ru-RU"/>
              </w:rPr>
              <w:t>на расстоянии 9 км проходят канализационные сети г.Ельня</w:t>
            </w:r>
            <w:r w:rsidR="00DE7A4C">
              <w:rPr>
                <w:rFonts w:ascii="Times New Roman" w:hAnsi="Times New Roman"/>
                <w:lang w:val="ru-RU"/>
              </w:rPr>
              <w:t>. Необходимо строительство.</w:t>
            </w:r>
          </w:p>
          <w:p w:rsidR="00CE7CB6" w:rsidRPr="003B43E6" w:rsidRDefault="00CE7CB6" w:rsidP="00DE7A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</w:t>
            </w:r>
            <w:r w:rsidR="00A36848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E7A4C">
              <w:rPr>
                <w:rFonts w:ascii="Times New Roman" w:hAnsi="Times New Roman"/>
                <w:lang w:val="ru-RU"/>
              </w:rPr>
              <w:t>отсутствует</w:t>
            </w:r>
            <w:r>
              <w:rPr>
                <w:rFonts w:ascii="Times New Roman" w:hAnsi="Times New Roman"/>
                <w:lang w:val="ru-RU"/>
              </w:rPr>
              <w:t>, необходимо строительство.</w:t>
            </w:r>
          </w:p>
        </w:tc>
      </w:tr>
      <w:tr w:rsidR="00966C23" w:rsidRPr="00760DEE" w:rsidTr="002447EF">
        <w:trPr>
          <w:trHeight w:val="270"/>
        </w:trPr>
        <w:tc>
          <w:tcPr>
            <w:tcW w:w="4661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</w:tcBorders>
          </w:tcPr>
          <w:p w:rsidR="00966C23" w:rsidRDefault="00A1731A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Автодорога </w:t>
            </w:r>
            <w:r w:rsidR="00221803">
              <w:rPr>
                <w:rFonts w:ascii="Times New Roman" w:hAnsi="Times New Roman"/>
                <w:lang w:val="ru-RU"/>
              </w:rPr>
              <w:t>«Москва-Малоярославец-Рославль до границы с республикой Беларусь» - Спас-Деменск-Ельня-Починок</w:t>
            </w:r>
            <w:r w:rsidR="00C1147C">
              <w:rPr>
                <w:rFonts w:ascii="Times New Roman" w:hAnsi="Times New Roman"/>
                <w:lang w:val="ru-RU"/>
              </w:rPr>
              <w:t xml:space="preserve"> (покрытие асфальтобетонное)</w:t>
            </w:r>
            <w:r w:rsidR="00221803">
              <w:rPr>
                <w:rFonts w:ascii="Times New Roman" w:hAnsi="Times New Roman"/>
                <w:lang w:val="ru-RU"/>
              </w:rPr>
              <w:t xml:space="preserve"> на расстоянии 10</w:t>
            </w:r>
            <w:r w:rsidR="001E5E7E">
              <w:rPr>
                <w:rFonts w:ascii="Times New Roman" w:hAnsi="Times New Roman"/>
                <w:lang w:val="ru-RU"/>
              </w:rPr>
              <w:t xml:space="preserve"> </w:t>
            </w:r>
            <w:r w:rsidR="00221803">
              <w:rPr>
                <w:rFonts w:ascii="Times New Roman" w:hAnsi="Times New Roman"/>
                <w:lang w:val="ru-RU"/>
              </w:rPr>
              <w:t>м.</w:t>
            </w:r>
          </w:p>
          <w:p w:rsidR="00C1147C" w:rsidRPr="003B43E6" w:rsidRDefault="00C1147C" w:rsidP="005563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</w:t>
            </w:r>
            <w:r w:rsidR="00CE7CB6">
              <w:rPr>
                <w:rFonts w:ascii="Times New Roman" w:hAnsi="Times New Roman"/>
                <w:lang w:val="ru-RU"/>
              </w:rPr>
              <w:t xml:space="preserve"> </w:t>
            </w:r>
            <w:r w:rsidR="00492899">
              <w:rPr>
                <w:rFonts w:ascii="Times New Roman" w:hAnsi="Times New Roman"/>
                <w:lang w:val="ru-RU"/>
              </w:rPr>
              <w:t>–</w:t>
            </w:r>
            <w:r w:rsidR="006F78EA">
              <w:rPr>
                <w:rFonts w:ascii="Times New Roman" w:hAnsi="Times New Roman"/>
                <w:lang w:val="ru-RU"/>
              </w:rPr>
              <w:t xml:space="preserve"> Фаянсовая</w:t>
            </w:r>
            <w:r w:rsidR="00492899">
              <w:rPr>
                <w:rFonts w:ascii="Times New Roman" w:hAnsi="Times New Roman"/>
                <w:lang w:val="ru-RU"/>
              </w:rPr>
              <w:t xml:space="preserve"> на расстоянии 500 м</w:t>
            </w:r>
            <w:r w:rsidR="00556381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56381">
              <w:rPr>
                <w:rFonts w:ascii="Times New Roman" w:hAnsi="Times New Roman"/>
                <w:lang w:val="ru-RU"/>
              </w:rPr>
              <w:t>расстояние до ж.д.</w:t>
            </w:r>
            <w:r w:rsidR="006F78EA">
              <w:rPr>
                <w:rFonts w:ascii="Times New Roman" w:hAnsi="Times New Roman"/>
                <w:lang w:val="ru-RU"/>
              </w:rPr>
              <w:t xml:space="preserve"> станции Ельня -9 км.</w:t>
            </w:r>
          </w:p>
        </w:tc>
      </w:tr>
      <w:tr w:rsidR="00966C23" w:rsidRPr="00760DEE" w:rsidTr="002447EF">
        <w:tblPrEx>
          <w:tblLook w:val="0000"/>
        </w:tblPrEx>
        <w:trPr>
          <w:trHeight w:val="419"/>
        </w:trPr>
        <w:tc>
          <w:tcPr>
            <w:tcW w:w="4661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:rsidR="00966C23" w:rsidRPr="003B43E6" w:rsidRDefault="009C558E" w:rsidP="00CE7C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6F78EA">
              <w:rPr>
                <w:rFonts w:ascii="Times New Roman" w:hAnsi="Times New Roman"/>
                <w:lang w:val="ru-RU"/>
              </w:rPr>
              <w:t>е до ближайших жилых домов – 2</w:t>
            </w:r>
            <w:r w:rsidR="00C1147C">
              <w:rPr>
                <w:rFonts w:ascii="Times New Roman" w:hAnsi="Times New Roman"/>
                <w:lang w:val="ru-RU"/>
              </w:rPr>
              <w:t>0,0</w:t>
            </w:r>
            <w:r>
              <w:rPr>
                <w:rFonts w:ascii="Times New Roman" w:hAnsi="Times New Roman"/>
                <w:lang w:val="ru-RU"/>
              </w:rPr>
              <w:t xml:space="preserve"> м</w:t>
            </w:r>
            <w:r w:rsidR="00CE7CB6">
              <w:rPr>
                <w:rFonts w:ascii="Times New Roman" w:hAnsi="Times New Roman"/>
                <w:lang w:val="ru-RU"/>
              </w:rPr>
              <w:t xml:space="preserve">, </w:t>
            </w:r>
            <w:r w:rsidR="00024FD8">
              <w:rPr>
                <w:rFonts w:ascii="Times New Roman" w:hAnsi="Times New Roman"/>
                <w:lang w:val="ru-RU"/>
              </w:rPr>
              <w:t>ограничений использования участка – нет.</w:t>
            </w:r>
          </w:p>
        </w:tc>
      </w:tr>
      <w:tr w:rsidR="00966C23" w:rsidRPr="00760DEE" w:rsidTr="002447EF">
        <w:tblPrEx>
          <w:tblLook w:val="0000"/>
        </w:tblPrEx>
        <w:trPr>
          <w:trHeight w:val="419"/>
        </w:trPr>
        <w:tc>
          <w:tcPr>
            <w:tcW w:w="4661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1.Освобождение инвестора от арендной платы за </w:t>
            </w:r>
            <w:r>
              <w:rPr>
                <w:rFonts w:ascii="Times New Roman" w:hAnsi="Times New Roman"/>
                <w:lang w:val="ru-RU"/>
              </w:rPr>
              <w:lastRenderedPageBreak/>
              <w:t>земельный участок в размере 100%  сроком на 3 года в порядке, предусмотренном нормативным правовым актом Администрации муниципальног</w:t>
            </w:r>
            <w:r w:rsidR="001E5E7E">
              <w:rPr>
                <w:rFonts w:ascii="Times New Roman" w:hAnsi="Times New Roman"/>
                <w:lang w:val="ru-RU"/>
              </w:rPr>
              <w:t>о образования «Ельнинский 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1E5E7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1E5E7E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</w:t>
            </w:r>
            <w:r w:rsidR="001E5E7E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r w:rsidR="00D95D2E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D95D2E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D95D2E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D95D2E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 Сопровождение инвестиционных проектов в рамках «единого окна».</w:t>
            </w:r>
          </w:p>
        </w:tc>
      </w:tr>
      <w:tr w:rsidR="00F64A0C" w:rsidRPr="00F342C1" w:rsidTr="00A67F80">
        <w:tblPrEx>
          <w:tblLook w:val="0000"/>
        </w:tblPrEx>
        <w:trPr>
          <w:trHeight w:val="455"/>
        </w:trPr>
        <w:tc>
          <w:tcPr>
            <w:tcW w:w="4661" w:type="dxa"/>
            <w:vMerge w:val="restart"/>
          </w:tcPr>
          <w:p w:rsidR="00F64A0C" w:rsidRPr="006C699E" w:rsidRDefault="00F64A0C" w:rsidP="00F80D9D">
            <w:pPr>
              <w:rPr>
                <w:rFonts w:ascii="Times New Roman" w:hAnsi="Times New Roman"/>
                <w:lang w:val="ru-RU"/>
              </w:rPr>
            </w:pPr>
          </w:p>
          <w:p w:rsidR="00F64A0C" w:rsidRPr="006C699E" w:rsidRDefault="00F64A0C" w:rsidP="00F80D9D">
            <w:pPr>
              <w:rPr>
                <w:rFonts w:ascii="Times New Roman" w:hAnsi="Times New Roman"/>
                <w:lang w:val="ru-RU"/>
              </w:rPr>
            </w:pPr>
          </w:p>
          <w:p w:rsidR="00F64A0C" w:rsidRPr="006C699E" w:rsidRDefault="00F64A0C" w:rsidP="00F80D9D">
            <w:pPr>
              <w:rPr>
                <w:rFonts w:ascii="Times New Roman" w:hAnsi="Times New Roman"/>
                <w:lang w:val="ru-RU"/>
              </w:rPr>
            </w:pPr>
          </w:p>
          <w:p w:rsidR="00F64A0C" w:rsidRPr="007F705B" w:rsidRDefault="00F64A0C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F64A0C" w:rsidRPr="00C87CAF" w:rsidRDefault="00F64A0C" w:rsidP="00683C06">
            <w:r w:rsidRPr="00C87CAF">
              <w:t>ФИО</w:t>
            </w:r>
          </w:p>
        </w:tc>
        <w:tc>
          <w:tcPr>
            <w:tcW w:w="2908" w:type="dxa"/>
            <w:shd w:val="clear" w:color="auto" w:fill="auto"/>
          </w:tcPr>
          <w:p w:rsidR="00F64A0C" w:rsidRPr="00E63785" w:rsidRDefault="00D95D2E" w:rsidP="00683C06">
            <w:pPr>
              <w:rPr>
                <w:lang w:val="ru-RU"/>
              </w:rPr>
            </w:pPr>
            <w:r>
              <w:rPr>
                <w:lang w:val="ru-RU"/>
              </w:rPr>
              <w:t>Трошкина Светлана Васильевна</w:t>
            </w:r>
          </w:p>
        </w:tc>
      </w:tr>
      <w:tr w:rsidR="00F64A0C" w:rsidTr="002447EF">
        <w:tblPrEx>
          <w:tblLook w:val="0000"/>
        </w:tblPrEx>
        <w:trPr>
          <w:trHeight w:val="431"/>
        </w:trPr>
        <w:tc>
          <w:tcPr>
            <w:tcW w:w="4661" w:type="dxa"/>
            <w:vMerge/>
          </w:tcPr>
          <w:p w:rsidR="00F64A0C" w:rsidRPr="00B4649E" w:rsidRDefault="00F64A0C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F64A0C" w:rsidRPr="00C87CAF" w:rsidRDefault="00F64A0C" w:rsidP="00683C06">
            <w:r w:rsidRPr="00C87CAF">
              <w:t>Телефон</w:t>
            </w:r>
          </w:p>
        </w:tc>
        <w:tc>
          <w:tcPr>
            <w:tcW w:w="2908" w:type="dxa"/>
            <w:shd w:val="clear" w:color="auto" w:fill="auto"/>
          </w:tcPr>
          <w:p w:rsidR="00F64A0C" w:rsidRPr="00E63785" w:rsidRDefault="00E63785" w:rsidP="00683C06">
            <w:pPr>
              <w:rPr>
                <w:lang w:val="ru-RU"/>
              </w:rPr>
            </w:pPr>
            <w:r>
              <w:t>8(48146)4-</w:t>
            </w:r>
            <w:r w:rsidR="00D95D2E">
              <w:rPr>
                <w:lang w:val="ru-RU"/>
              </w:rPr>
              <w:t>22</w:t>
            </w:r>
            <w:r>
              <w:t>-</w:t>
            </w:r>
            <w:r>
              <w:rPr>
                <w:lang w:val="ru-RU"/>
              </w:rPr>
              <w:t>09</w:t>
            </w:r>
          </w:p>
        </w:tc>
      </w:tr>
      <w:tr w:rsidR="00F64A0C" w:rsidRPr="00B07AB4" w:rsidTr="002447EF">
        <w:tblPrEx>
          <w:tblLook w:val="0000"/>
        </w:tblPrEx>
        <w:trPr>
          <w:trHeight w:val="409"/>
        </w:trPr>
        <w:tc>
          <w:tcPr>
            <w:tcW w:w="4661" w:type="dxa"/>
            <w:vMerge/>
          </w:tcPr>
          <w:p w:rsidR="00F64A0C" w:rsidRPr="002108F0" w:rsidRDefault="00F64A0C" w:rsidP="00F80D9D">
            <w:pPr>
              <w:rPr>
                <w:rFonts w:ascii="Times New Roman" w:hAnsi="Times New Roman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F64A0C" w:rsidRPr="00C87CAF" w:rsidRDefault="00F64A0C" w:rsidP="00683C06">
            <w:r w:rsidRPr="00C87CAF">
              <w:t>E-mail:</w:t>
            </w:r>
          </w:p>
        </w:tc>
        <w:tc>
          <w:tcPr>
            <w:tcW w:w="2908" w:type="dxa"/>
            <w:shd w:val="clear" w:color="auto" w:fill="auto"/>
          </w:tcPr>
          <w:p w:rsidR="00F64A0C" w:rsidRPr="00C87CAF" w:rsidRDefault="00F64A0C" w:rsidP="00683C06">
            <w:r w:rsidRPr="00C87CAF">
              <w:t>admin_elnia@admin-smolensk.ru</w:t>
            </w:r>
          </w:p>
        </w:tc>
      </w:tr>
      <w:tr w:rsidR="00F64A0C" w:rsidRPr="00F80D9D" w:rsidTr="002447EF">
        <w:tblPrEx>
          <w:tblLook w:val="0000"/>
        </w:tblPrEx>
        <w:trPr>
          <w:trHeight w:val="629"/>
        </w:trPr>
        <w:tc>
          <w:tcPr>
            <w:tcW w:w="4661" w:type="dxa"/>
            <w:vMerge/>
          </w:tcPr>
          <w:p w:rsidR="00F64A0C" w:rsidRPr="00F64A0C" w:rsidRDefault="00F64A0C" w:rsidP="00F80D9D">
            <w:pPr>
              <w:rPr>
                <w:rFonts w:ascii="Times New Roman" w:hAnsi="Times New Roman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F64A0C" w:rsidRPr="00F64A0C" w:rsidRDefault="00F64A0C" w:rsidP="00683C06">
            <w:pPr>
              <w:rPr>
                <w:lang w:val="ru-RU"/>
              </w:rPr>
            </w:pPr>
            <w:r w:rsidRPr="00F64A0C">
              <w:rPr>
                <w:lang w:val="ru-RU"/>
              </w:rPr>
              <w:t>Эл. адрес сайта (при наличии)</w:t>
            </w:r>
          </w:p>
        </w:tc>
        <w:tc>
          <w:tcPr>
            <w:tcW w:w="2908" w:type="dxa"/>
            <w:shd w:val="clear" w:color="auto" w:fill="auto"/>
          </w:tcPr>
          <w:p w:rsidR="00F64A0C" w:rsidRDefault="00F64A0C" w:rsidP="00683C06">
            <w:r w:rsidRPr="00C87CAF">
              <w:t>elnya-admin.admin-smolensk.ru</w:t>
            </w:r>
          </w:p>
        </w:tc>
      </w:tr>
    </w:tbl>
    <w:p w:rsidR="00DE4FC7" w:rsidRPr="00F64A0C" w:rsidRDefault="00DE4FC7" w:rsidP="008875C4">
      <w:pPr>
        <w:rPr>
          <w:lang w:eastAsia="ru-RU"/>
        </w:rPr>
      </w:pPr>
    </w:p>
    <w:sectPr w:rsidR="00DE4FC7" w:rsidRPr="00F64A0C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BB" w:rsidRDefault="00FE11BB" w:rsidP="002D1550">
      <w:pPr>
        <w:spacing w:after="0" w:line="240" w:lineRule="auto"/>
      </w:pPr>
      <w:r>
        <w:separator/>
      </w:r>
    </w:p>
  </w:endnote>
  <w:endnote w:type="continuationSeparator" w:id="0">
    <w:p w:rsidR="00FE11BB" w:rsidRDefault="00FE11BB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BB" w:rsidRDefault="00FE11BB" w:rsidP="002D1550">
      <w:pPr>
        <w:spacing w:after="0" w:line="240" w:lineRule="auto"/>
      </w:pPr>
      <w:r>
        <w:separator/>
      </w:r>
    </w:p>
  </w:footnote>
  <w:footnote w:type="continuationSeparator" w:id="0">
    <w:p w:rsidR="00FE11BB" w:rsidRDefault="00FE11BB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A67F80" w:rsidTr="00476A13">
      <w:trPr>
        <w:trHeight w:val="1129"/>
      </w:trPr>
      <w:tc>
        <w:tcPr>
          <w:tcW w:w="5670" w:type="dxa"/>
        </w:tcPr>
        <w:p w:rsidR="00476A13" w:rsidRPr="00760DEE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760DEE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760DEE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760DEE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760DE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760DEE" w:rsidRDefault="00760DEE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760DE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760DE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760DE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760DE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1448A"/>
    <w:rsid w:val="000202C9"/>
    <w:rsid w:val="00024FD8"/>
    <w:rsid w:val="000300A8"/>
    <w:rsid w:val="00040305"/>
    <w:rsid w:val="00040694"/>
    <w:rsid w:val="000A22DE"/>
    <w:rsid w:val="000B361C"/>
    <w:rsid w:val="000C2C1E"/>
    <w:rsid w:val="000E78D2"/>
    <w:rsid w:val="000E79A6"/>
    <w:rsid w:val="001035A1"/>
    <w:rsid w:val="00105BA6"/>
    <w:rsid w:val="0011238E"/>
    <w:rsid w:val="001C76D5"/>
    <w:rsid w:val="001D0547"/>
    <w:rsid w:val="001E0280"/>
    <w:rsid w:val="001E5E7E"/>
    <w:rsid w:val="001F711F"/>
    <w:rsid w:val="002078CF"/>
    <w:rsid w:val="002108F0"/>
    <w:rsid w:val="00221803"/>
    <w:rsid w:val="002239A5"/>
    <w:rsid w:val="002447EF"/>
    <w:rsid w:val="00245892"/>
    <w:rsid w:val="00282061"/>
    <w:rsid w:val="00287A4B"/>
    <w:rsid w:val="00297C1D"/>
    <w:rsid w:val="002D1550"/>
    <w:rsid w:val="002E07D9"/>
    <w:rsid w:val="002E1AF9"/>
    <w:rsid w:val="003079EA"/>
    <w:rsid w:val="00326E34"/>
    <w:rsid w:val="00334D92"/>
    <w:rsid w:val="00340E17"/>
    <w:rsid w:val="00397DA5"/>
    <w:rsid w:val="003B43E6"/>
    <w:rsid w:val="003D31B2"/>
    <w:rsid w:val="00417BF5"/>
    <w:rsid w:val="00443E5A"/>
    <w:rsid w:val="00453F74"/>
    <w:rsid w:val="00476A13"/>
    <w:rsid w:val="004836EE"/>
    <w:rsid w:val="0048400D"/>
    <w:rsid w:val="00484753"/>
    <w:rsid w:val="00492899"/>
    <w:rsid w:val="004B0FC8"/>
    <w:rsid w:val="004C5288"/>
    <w:rsid w:val="004D671D"/>
    <w:rsid w:val="004E499A"/>
    <w:rsid w:val="005242C9"/>
    <w:rsid w:val="005511A5"/>
    <w:rsid w:val="0055243C"/>
    <w:rsid w:val="00556381"/>
    <w:rsid w:val="00556DAE"/>
    <w:rsid w:val="00570F0D"/>
    <w:rsid w:val="00581E0D"/>
    <w:rsid w:val="005D7E42"/>
    <w:rsid w:val="00602F16"/>
    <w:rsid w:val="0061120A"/>
    <w:rsid w:val="006375B3"/>
    <w:rsid w:val="00637FF7"/>
    <w:rsid w:val="006600D9"/>
    <w:rsid w:val="006649A3"/>
    <w:rsid w:val="006851B5"/>
    <w:rsid w:val="006C699E"/>
    <w:rsid w:val="006F78EA"/>
    <w:rsid w:val="007019C9"/>
    <w:rsid w:val="00711EB6"/>
    <w:rsid w:val="00756FFB"/>
    <w:rsid w:val="00760DEE"/>
    <w:rsid w:val="00765734"/>
    <w:rsid w:val="0078540F"/>
    <w:rsid w:val="007872C5"/>
    <w:rsid w:val="00793A14"/>
    <w:rsid w:val="007B5478"/>
    <w:rsid w:val="007B636F"/>
    <w:rsid w:val="007D36B2"/>
    <w:rsid w:val="007F2F6C"/>
    <w:rsid w:val="007F6CDA"/>
    <w:rsid w:val="007F705B"/>
    <w:rsid w:val="007F731E"/>
    <w:rsid w:val="00877183"/>
    <w:rsid w:val="008837BE"/>
    <w:rsid w:val="008875C4"/>
    <w:rsid w:val="00891008"/>
    <w:rsid w:val="008B1D66"/>
    <w:rsid w:val="008F22C1"/>
    <w:rsid w:val="009214F0"/>
    <w:rsid w:val="00926DAB"/>
    <w:rsid w:val="009425FE"/>
    <w:rsid w:val="00953BF0"/>
    <w:rsid w:val="00956D45"/>
    <w:rsid w:val="00957FE7"/>
    <w:rsid w:val="00966C23"/>
    <w:rsid w:val="00976AA2"/>
    <w:rsid w:val="009827F8"/>
    <w:rsid w:val="00987CB0"/>
    <w:rsid w:val="0099009F"/>
    <w:rsid w:val="00992243"/>
    <w:rsid w:val="009C558E"/>
    <w:rsid w:val="009C7992"/>
    <w:rsid w:val="009D02C6"/>
    <w:rsid w:val="009D0F5C"/>
    <w:rsid w:val="009D1922"/>
    <w:rsid w:val="00A11BFB"/>
    <w:rsid w:val="00A1731A"/>
    <w:rsid w:val="00A26370"/>
    <w:rsid w:val="00A31C98"/>
    <w:rsid w:val="00A36848"/>
    <w:rsid w:val="00A40CD9"/>
    <w:rsid w:val="00A504D5"/>
    <w:rsid w:val="00A603B1"/>
    <w:rsid w:val="00A62BB2"/>
    <w:rsid w:val="00A64D6A"/>
    <w:rsid w:val="00A67F80"/>
    <w:rsid w:val="00A9080C"/>
    <w:rsid w:val="00AB149B"/>
    <w:rsid w:val="00AC4139"/>
    <w:rsid w:val="00AC7892"/>
    <w:rsid w:val="00AC7A7E"/>
    <w:rsid w:val="00AE5ABD"/>
    <w:rsid w:val="00B03B05"/>
    <w:rsid w:val="00B07AB4"/>
    <w:rsid w:val="00B4649E"/>
    <w:rsid w:val="00B735B8"/>
    <w:rsid w:val="00B90D40"/>
    <w:rsid w:val="00B92313"/>
    <w:rsid w:val="00B95D08"/>
    <w:rsid w:val="00BA01E1"/>
    <w:rsid w:val="00BC5941"/>
    <w:rsid w:val="00BD20A1"/>
    <w:rsid w:val="00BD2E31"/>
    <w:rsid w:val="00BD5CD9"/>
    <w:rsid w:val="00C04B58"/>
    <w:rsid w:val="00C1147C"/>
    <w:rsid w:val="00C46DFF"/>
    <w:rsid w:val="00C8206E"/>
    <w:rsid w:val="00C87520"/>
    <w:rsid w:val="00CA5198"/>
    <w:rsid w:val="00CB72AD"/>
    <w:rsid w:val="00CE2228"/>
    <w:rsid w:val="00CE37D0"/>
    <w:rsid w:val="00CE7CB6"/>
    <w:rsid w:val="00D1663D"/>
    <w:rsid w:val="00D37B0D"/>
    <w:rsid w:val="00D45D30"/>
    <w:rsid w:val="00D60560"/>
    <w:rsid w:val="00D642E0"/>
    <w:rsid w:val="00D7309C"/>
    <w:rsid w:val="00D770F8"/>
    <w:rsid w:val="00D95D2E"/>
    <w:rsid w:val="00DB6FF0"/>
    <w:rsid w:val="00DC2ABC"/>
    <w:rsid w:val="00DD2809"/>
    <w:rsid w:val="00DD7B68"/>
    <w:rsid w:val="00DE3EBC"/>
    <w:rsid w:val="00DE4FC7"/>
    <w:rsid w:val="00DE7A4C"/>
    <w:rsid w:val="00E04BC7"/>
    <w:rsid w:val="00E45A5C"/>
    <w:rsid w:val="00E54B88"/>
    <w:rsid w:val="00E62E46"/>
    <w:rsid w:val="00E63558"/>
    <w:rsid w:val="00E63785"/>
    <w:rsid w:val="00EC6C43"/>
    <w:rsid w:val="00EF119C"/>
    <w:rsid w:val="00F0407B"/>
    <w:rsid w:val="00F342C1"/>
    <w:rsid w:val="00F345FB"/>
    <w:rsid w:val="00F53BB3"/>
    <w:rsid w:val="00F60B5C"/>
    <w:rsid w:val="00F63377"/>
    <w:rsid w:val="00F64A0C"/>
    <w:rsid w:val="00F64D99"/>
    <w:rsid w:val="00F80A06"/>
    <w:rsid w:val="00F80D9D"/>
    <w:rsid w:val="00F84702"/>
    <w:rsid w:val="00FA29E9"/>
    <w:rsid w:val="00FB2261"/>
    <w:rsid w:val="00FC352D"/>
    <w:rsid w:val="00FE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C640-88C6-4BD8-8973-FAD55FD5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38</cp:revision>
  <dcterms:created xsi:type="dcterms:W3CDTF">2020-01-13T11:38:00Z</dcterms:created>
  <dcterms:modified xsi:type="dcterms:W3CDTF">2025-01-20T19:39:00Z</dcterms:modified>
</cp:coreProperties>
</file>