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14.04.2025 N 201н</w:t>
              <w:br/>
              <w:t xml:space="preserve">"Об утверждении Порядка прохождения диспансеризации федеральными государственными гражданскими служащими, государственными гражданскими служащими субъектов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медицинской организации"</w:t>
              <w:br/>
              <w:t xml:space="preserve">(Зарегистрировано в Минюсте России 20.05.2025 N 82259)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20 мая 2025 г. N 82259</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14 апреля 2025 г. N 201н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ПРОХОЖДЕНИЯ ДИСПАНСЕРИЗАЦИИ ФЕДЕРАЛЬНЫМИ ГОСУДАРСТВЕННЫМИ</w:t>
      </w:r>
    </w:p>
    <w:p>
      <w:pPr>
        <w:pStyle w:val="2"/>
        <w:jc w:val="center"/>
      </w:pPr>
      <w:r>
        <w:rPr>
          <w:sz w:val="24"/>
        </w:rPr>
        <w:t xml:space="preserve">ГРАЖДАНСКИМИ СЛУЖАЩИМИ, ГОСУДАРСТВЕННЫМИ ГРАЖДАНСКИМИ</w:t>
      </w:r>
    </w:p>
    <w:p>
      <w:pPr>
        <w:pStyle w:val="2"/>
        <w:jc w:val="center"/>
      </w:pPr>
      <w:r>
        <w:rPr>
          <w:sz w:val="24"/>
        </w:rPr>
        <w:t xml:space="preserve">СЛУЖАЩИМИ СУБЪЕКТОВ РОССИЙСКОЙ ФЕДЕРАЦИИ И МУНИЦИПАЛЬНЫМИ</w:t>
      </w:r>
    </w:p>
    <w:p>
      <w:pPr>
        <w:pStyle w:val="2"/>
        <w:jc w:val="center"/>
      </w:pPr>
      <w:r>
        <w:rPr>
          <w:sz w:val="24"/>
        </w:rPr>
        <w:t xml:space="preserve">СЛУЖАЩИМИ, ПЕРЕЧНЯ ЗАБОЛЕВАНИЙ, ПРЕПЯТСТВУЮЩИХ ПОСТУПЛЕНИЮ</w:t>
      </w:r>
    </w:p>
    <w:p>
      <w:pPr>
        <w:pStyle w:val="2"/>
        <w:jc w:val="center"/>
      </w:pPr>
      <w:r>
        <w:rPr>
          <w:sz w:val="24"/>
        </w:rPr>
        <w:t xml:space="preserve">НА ГОСУДАРСТВЕННУЮ ГРАЖДАНСКУЮ СЛУЖБУ РОССИЙСКОЙ ФЕДЕРАЦИИ</w:t>
      </w:r>
    </w:p>
    <w:p>
      <w:pPr>
        <w:pStyle w:val="2"/>
        <w:jc w:val="center"/>
      </w:pPr>
      <w:r>
        <w:rPr>
          <w:sz w:val="24"/>
        </w:rPr>
        <w:t xml:space="preserve">И МУНИЦИПАЛЬНУЮ СЛУЖБУ ИЛИ ЕЕ ПРОХОЖДЕНИЮ, А ТАКЖЕ ФОРМЫ</w:t>
      </w:r>
    </w:p>
    <w:p>
      <w:pPr>
        <w:pStyle w:val="2"/>
        <w:jc w:val="center"/>
      </w:pPr>
      <w:r>
        <w:rPr>
          <w:sz w:val="24"/>
        </w:rPr>
        <w:t xml:space="preserve">ЗАКЛЮЧЕНИЯ МЕДИЦИНСКОЙ ОРГАНИЗАЦИИ</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7.07.2004 N 79-ФЗ (ред. от 23.07.2025) &quot;О государственной гражданской службе Российской Федерации&quot; {КонсультантПлюс}">
        <w:r>
          <w:rPr>
            <w:sz w:val="24"/>
            <w:color w:val="0000ff"/>
          </w:rPr>
          <w:t xml:space="preserve">пунктом 4 части 1 статьи 16</w:t>
        </w:r>
      </w:hyperlink>
      <w:r>
        <w:rPr>
          <w:sz w:val="24"/>
        </w:rPr>
        <w:t xml:space="preserve"> Федерального закона от 27 июля 2004 г. N 79-ФЗ "О государственной гражданской службе Российской Федерации", </w:t>
      </w:r>
      <w:hyperlink w:history="0" r:id="rId8" w:tooltip="Федеральный закон от 02.03.2007 N 25-ФЗ (ред. от 30.09.2024) &quot;О муниципальной службе в Российской Федерации&quot; {КонсультантПлюс}">
        <w:r>
          <w:rPr>
            <w:sz w:val="24"/>
            <w:color w:val="0000ff"/>
          </w:rPr>
          <w:t xml:space="preserve">пунктом 4 части 1 статьи 13</w:t>
        </w:r>
      </w:hyperlink>
      <w:r>
        <w:rPr>
          <w:sz w:val="24"/>
        </w:rPr>
        <w:t xml:space="preserve"> Федерального закона от 2 марта 2007 г. N 25-ФЗ "О муниципальной службе в Российской Федерации" и </w:t>
      </w:r>
      <w:hyperlink w:history="0" r:id="rId9"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подпунктом 5.2.66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38" w:tooltip="ПОРЯДОК">
        <w:r>
          <w:rPr>
            <w:sz w:val="24"/>
            <w:color w:val="0000ff"/>
          </w:rPr>
          <w:t xml:space="preserve">Порядок</w:t>
        </w:r>
      </w:hyperlink>
      <w:r>
        <w:rPr>
          <w:sz w:val="24"/>
        </w:rPr>
        <w:t xml:space="preserve"> прохождения диспансеризации федеральными государственными гражданскими служащими, государственными гражданскими служащими субъектов Российской Федерации и муниципальными служащими согласно приложению N 1 к настоящему приказу;</w:t>
      </w:r>
    </w:p>
    <w:p>
      <w:pPr>
        <w:pStyle w:val="0"/>
        <w:spacing w:before="240" w:line-rule="auto"/>
        <w:ind w:firstLine="540"/>
        <w:jc w:val="both"/>
      </w:pPr>
      <w:hyperlink w:history="0" w:anchor="P127" w:tooltip="ПЕРЕЧЕНЬ">
        <w:r>
          <w:rPr>
            <w:sz w:val="24"/>
            <w:color w:val="0000ff"/>
          </w:rPr>
          <w:t xml:space="preserve">перечень</w:t>
        </w:r>
      </w:hyperlink>
      <w:r>
        <w:rPr>
          <w:sz w:val="24"/>
        </w:rPr>
        <w:t xml:space="preserve"> заболеваний, препятствующих поступлению на государственную гражданскую службу Российской Федерации и муниципальную службу или ее прохождению, согласно приложению N 2 к настоящему приказу;</w:t>
      </w:r>
    </w:p>
    <w:p>
      <w:pPr>
        <w:pStyle w:val="0"/>
        <w:spacing w:before="240" w:line-rule="auto"/>
        <w:ind w:firstLine="540"/>
        <w:jc w:val="both"/>
      </w:pPr>
      <w:r>
        <w:rPr>
          <w:sz w:val="24"/>
        </w:rPr>
        <w:t xml:space="preserve">учетную </w:t>
      </w:r>
      <w:hyperlink w:history="0" w:anchor="P168" w:tooltip="Заключение">
        <w:r>
          <w:rPr>
            <w:sz w:val="24"/>
            <w:color w:val="0000ff"/>
          </w:rPr>
          <w:t xml:space="preserve">форму N 001-ГС/у</w:t>
        </w:r>
      </w:hyperlink>
      <w:r>
        <w:rPr>
          <w:sz w:val="24"/>
        </w:rPr>
        <w:t xml:space="preserve">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согласно приложению N 3 к настоящему приказу.</w:t>
      </w:r>
    </w:p>
    <w:p>
      <w:pPr>
        <w:pStyle w:val="0"/>
        <w:spacing w:before="240" w:line-rule="auto"/>
        <w:ind w:firstLine="540"/>
        <w:jc w:val="both"/>
      </w:pPr>
      <w:r>
        <w:rPr>
          <w:sz w:val="24"/>
        </w:rPr>
        <w:t xml:space="preserve">2. Признать утратившим силу </w:t>
      </w:r>
      <w:hyperlink w:history="0" r:id="rId10"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pPr>
        <w:pStyle w:val="0"/>
        <w:spacing w:before="240" w:line-rule="auto"/>
        <w:ind w:firstLine="540"/>
        <w:jc w:val="both"/>
      </w:pPr>
      <w:r>
        <w:rPr>
          <w:sz w:val="24"/>
        </w:rPr>
        <w:t xml:space="preserve">3. Настоящий приказ вступает в силу с 1 сентября 2025 года и действует до 1 сентября 2031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201н</w:t>
      </w:r>
    </w:p>
    <w:p>
      <w:pPr>
        <w:pStyle w:val="0"/>
        <w:jc w:val="both"/>
      </w:pPr>
      <w:r>
        <w:rPr>
          <w:sz w:val="24"/>
        </w:rPr>
      </w:r>
    </w:p>
    <w:bookmarkStart w:id="38" w:name="P38"/>
    <w:bookmarkEnd w:id="38"/>
    <w:p>
      <w:pPr>
        <w:pStyle w:val="2"/>
        <w:jc w:val="center"/>
      </w:pPr>
      <w:r>
        <w:rPr>
          <w:sz w:val="24"/>
        </w:rPr>
        <w:t xml:space="preserve">ПОРЯДОК</w:t>
      </w:r>
    </w:p>
    <w:p>
      <w:pPr>
        <w:pStyle w:val="2"/>
        <w:jc w:val="center"/>
      </w:pPr>
      <w:r>
        <w:rPr>
          <w:sz w:val="24"/>
        </w:rPr>
        <w:t xml:space="preserve">ПРОХОЖДЕНИЯ ДИСПАНСЕРИЗАЦИИ ФЕДЕРАЛЬНЫМИ ГОСУДАРСТВЕННЫМИ</w:t>
      </w:r>
    </w:p>
    <w:p>
      <w:pPr>
        <w:pStyle w:val="2"/>
        <w:jc w:val="center"/>
      </w:pPr>
      <w:r>
        <w:rPr>
          <w:sz w:val="24"/>
        </w:rPr>
        <w:t xml:space="preserve">ГРАЖДАНСКИМИ СЛУЖАЩИМИ, ГОСУДАРСТВЕННЫМИ ГРАЖДАНСКИМИ</w:t>
      </w:r>
    </w:p>
    <w:p>
      <w:pPr>
        <w:pStyle w:val="2"/>
        <w:jc w:val="center"/>
      </w:pPr>
      <w:r>
        <w:rPr>
          <w:sz w:val="24"/>
        </w:rPr>
        <w:t xml:space="preserve">СЛУЖАЩИМИ СУБЪЕКТОВ РОССИЙСКОЙ ФЕДЕРАЦИИ</w:t>
      </w:r>
    </w:p>
    <w:p>
      <w:pPr>
        <w:pStyle w:val="2"/>
        <w:jc w:val="center"/>
      </w:pPr>
      <w:r>
        <w:rPr>
          <w:sz w:val="24"/>
        </w:rPr>
        <w:t xml:space="preserve">И МУНИЦИПАЛЬНЫМИ СЛУЖАЩИМИ</w:t>
      </w:r>
    </w:p>
    <w:p>
      <w:pPr>
        <w:pStyle w:val="0"/>
        <w:jc w:val="center"/>
      </w:pPr>
      <w:r>
        <w:rPr>
          <w:sz w:val="24"/>
        </w:rPr>
      </w:r>
    </w:p>
    <w:p>
      <w:pPr>
        <w:pStyle w:val="0"/>
        <w:ind w:firstLine="540"/>
        <w:jc w:val="both"/>
      </w:pPr>
      <w:r>
        <w:rPr>
          <w:sz w:val="24"/>
        </w:rPr>
        <w:t xml:space="preserve">1. Диспансеризация гражданских служащих и муниципальных служащих проводится путем углубленного обследования состояния здоровья в целях:</w:t>
      </w:r>
    </w:p>
    <w:p>
      <w:pPr>
        <w:pStyle w:val="0"/>
        <w:spacing w:before="240" w:line-rule="auto"/>
        <w:ind w:firstLine="540"/>
        <w:jc w:val="both"/>
      </w:pPr>
      <w:r>
        <w:rPr>
          <w:sz w:val="24"/>
        </w:rPr>
        <w:t xml:space="preserve">1) раннего (своевременного) выявления состояний, заболеваний и факторов риска их развития, препятствующих прохождению государственной гражданской службы Российской Федерации и муниципальной службы;</w:t>
      </w:r>
    </w:p>
    <w:p>
      <w:pPr>
        <w:pStyle w:val="0"/>
        <w:spacing w:before="240" w:line-rule="auto"/>
        <w:ind w:firstLine="540"/>
        <w:jc w:val="both"/>
      </w:pPr>
      <w:r>
        <w:rPr>
          <w:sz w:val="24"/>
        </w:rPr>
        <w:t xml:space="preserve">2) определения группы здоровья, необходимых профилактических, лечебных, реабилитационных и оздоровительных мероприятий для гражданских служащих и муниципальных служащих с выявленными хроническими неинфекционными заболеваниями и (или) факторами риска их развития;</w:t>
      </w:r>
    </w:p>
    <w:p>
      <w:pPr>
        <w:pStyle w:val="0"/>
        <w:spacing w:before="240" w:line-rule="auto"/>
        <w:ind w:firstLine="540"/>
        <w:jc w:val="both"/>
      </w:pPr>
      <w:r>
        <w:rPr>
          <w:sz w:val="24"/>
        </w:rPr>
        <w:t xml:space="preserve">3) определения группы диспансерного наблюдения гражданских служащих и муниципальных служащих с выявленными хроническими неинфекционными заболеваниями и иными заболеваниями (состояниями), а также гражданских служащих и муниципальных служащих с высоким и очень высоким суммарным сердечно-сосудистым риском.</w:t>
      </w:r>
    </w:p>
    <w:p>
      <w:pPr>
        <w:pStyle w:val="0"/>
        <w:spacing w:before="240" w:line-rule="auto"/>
        <w:ind w:firstLine="540"/>
        <w:jc w:val="both"/>
      </w:pPr>
      <w:r>
        <w:rPr>
          <w:sz w:val="24"/>
        </w:rPr>
        <w:t xml:space="preserve">2. Диспансеризация гражданских служащих и муниципальных служащих проводится медицинскими организациями, имеющими лицензию на осуществление медицинской деятельности, включающую работы (услуги) по терапии, акушерству и гинекологии (за исключением использования вспомогательных репродуктивных технологий и искусственного прерывания беременности), неврологии, урологии, хирургии, офтальмологии, оториноларингологии (за исключением кохлеарной имплантации), эндокринологии, психиатрии, психиатрии-наркологии, рентгенологии, ультразвуковой диагностике, клинической лабораторной диагностике, определенными федеральным государственным органом, органом публичной власти федеральной территории, государственным органом субъекта Российской Федерации, органом местного самоуправления (далее - орган) в соответствии с законодательством о контрактной системе в сфере закупок товаров, работ, услуг для обеспечения государственных и муниципальных нужд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w:t>
        </w:r>
      </w:hyperlink>
      <w:r>
        <w:rPr>
          <w:sz w:val="24"/>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4"/>
        </w:rPr>
      </w:r>
    </w:p>
    <w:p>
      <w:pPr>
        <w:pStyle w:val="0"/>
        <w:ind w:firstLine="540"/>
        <w:jc w:val="both"/>
      </w:pPr>
      <w:r>
        <w:rPr>
          <w:sz w:val="24"/>
        </w:rPr>
        <w:t xml:space="preserve">В случае отсутствия у медицинской организации лицензии на осуществление медицинской деятельности, включающей отдельные работы (услуги), необходимые для проведения диспансеризации в полном объеме, такая медицинская организация привлекает на договорной основе медицинские организации, имеющие лицензии на осуществление медицинской деятельности, включающие соответствующие работы (услуги).</w:t>
      </w:r>
    </w:p>
    <w:p>
      <w:pPr>
        <w:pStyle w:val="0"/>
        <w:spacing w:before="240" w:line-rule="auto"/>
        <w:ind w:firstLine="540"/>
        <w:jc w:val="both"/>
      </w:pPr>
      <w:r>
        <w:rPr>
          <w:sz w:val="24"/>
        </w:rPr>
        <w:t xml:space="preserve">3. Для поступления на государственную гражданскую службу Российской Федерации или муниципальную службу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форма которого предусмотрена </w:t>
      </w:r>
      <w:hyperlink w:history="0" w:anchor="P168" w:tooltip="Заключение">
        <w:r>
          <w:rPr>
            <w:sz w:val="24"/>
            <w:color w:val="0000ff"/>
          </w:rPr>
          <w:t xml:space="preserve">приложением N 3</w:t>
        </w:r>
      </w:hyperlink>
      <w:r>
        <w:rPr>
          <w:sz w:val="24"/>
        </w:rPr>
        <w:t xml:space="preserve"> к настоящему приказу (далее - заключение), может быть получено в любой медицинской организации, имеющей лицензию на осуществление медицинской деятельности, включающую работы (услуги) по психиатрии и психиатрии-наркологии.</w:t>
      </w:r>
    </w:p>
    <w:bookmarkStart w:id="54" w:name="P54"/>
    <w:bookmarkEnd w:id="54"/>
    <w:p>
      <w:pPr>
        <w:pStyle w:val="0"/>
        <w:spacing w:before="240" w:line-rule="auto"/>
        <w:ind w:firstLine="540"/>
        <w:jc w:val="both"/>
      </w:pPr>
      <w:r>
        <w:rPr>
          <w:sz w:val="24"/>
        </w:rPr>
        <w:t xml:space="preserve">4. Для прохождения диспансеризации орган составляет поименный список гражданских служащих или муниципальных служащих, подлежащих диспансеризации, с указанием пола, возраста, а также года первичного прохождения диспансеризации в соответствии с настоящим Порядком и направляет его за 2 месяца до начала диспансеризации в соответствующую медицинскую организацию.</w:t>
      </w:r>
    </w:p>
    <w:bookmarkStart w:id="55" w:name="P55"/>
    <w:bookmarkEnd w:id="55"/>
    <w:p>
      <w:pPr>
        <w:pStyle w:val="0"/>
        <w:spacing w:before="240" w:line-rule="auto"/>
        <w:ind w:firstLine="540"/>
        <w:jc w:val="both"/>
      </w:pPr>
      <w:r>
        <w:rPr>
          <w:sz w:val="24"/>
        </w:rPr>
        <w:t xml:space="preserve">5. Медицинская организация на основании поименного списка гражданских служащих или муниципальных служащих, подлежащих диспансеризации, указанного в </w:t>
      </w:r>
      <w:hyperlink w:history="0" w:anchor="P54" w:tooltip="4. Для прохождения диспансеризации орган составляет поименный список гражданских служащих или муниципальных служащих, подлежащих диспансеризации, с указанием пола, возраста, а также года первичного прохождения диспансеризации в соответствии с настоящим Порядком и направляет его за 2 месяца до начала диспансеризации в соответствующую медицинскую организацию.">
        <w:r>
          <w:rPr>
            <w:sz w:val="24"/>
            <w:color w:val="0000ff"/>
          </w:rPr>
          <w:t xml:space="preserve">пункте 4</w:t>
        </w:r>
      </w:hyperlink>
      <w:r>
        <w:rPr>
          <w:sz w:val="24"/>
        </w:rPr>
        <w:t xml:space="preserve"> настоящего Порядка, утверждает совместно с представителем органа график прохождения диспансеризации.</w:t>
      </w:r>
    </w:p>
    <w:p>
      <w:pPr>
        <w:pStyle w:val="0"/>
        <w:spacing w:before="240" w:line-rule="auto"/>
        <w:ind w:firstLine="540"/>
        <w:jc w:val="both"/>
      </w:pPr>
      <w:r>
        <w:rPr>
          <w:sz w:val="24"/>
        </w:rPr>
        <w:t xml:space="preserve">6. Диспансеризация гражданских служащих и муниципальных служащих проводится при наличии информированного добровольного согласия на медицинское вмешательство, данного с соблюдением требований, установленных </w:t>
      </w:r>
      <w:hyperlink w:history="0" r:id="rId12"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статьей 20</w:t>
        </w:r>
      </w:hyperlink>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 гражданского служащего, муниципального служащего в служебное время в течение календарного года в сроки, установленные графиком прохождения диспансеризации гражданскими служащими или муниципальными служащими, утвержденным представителем органа.</w:t>
      </w:r>
    </w:p>
    <w:p>
      <w:pPr>
        <w:pStyle w:val="0"/>
        <w:spacing w:before="240" w:line-rule="auto"/>
        <w:ind w:firstLine="540"/>
        <w:jc w:val="both"/>
      </w:pPr>
      <w:r>
        <w:rPr>
          <w:sz w:val="24"/>
        </w:rPr>
        <w:t xml:space="preserve">В случае невозможности прохождения отдельными государственными служащими или муниципальными служащими диспансеризации в установленные графиком прохождения диспансеризации сроки представитель органа вправе инициировать изменение сроков прохождения диспансеризации, установленных графиком прохождения диспансеризации, указанным в </w:t>
      </w:r>
      <w:hyperlink w:history="0" w:anchor="P55" w:tooltip="5. Медицинская организация на основании поименного списка гражданских служащих или муниципальных служащих, подлежащих диспансеризации, указанного в пункте 4 настоящего Порядка, утверждает совместно с представителем органа график прохождения диспансеризации.">
        <w:r>
          <w:rPr>
            <w:sz w:val="24"/>
            <w:color w:val="0000ff"/>
          </w:rPr>
          <w:t xml:space="preserve">пункте 5</w:t>
        </w:r>
      </w:hyperlink>
      <w:r>
        <w:rPr>
          <w:sz w:val="24"/>
        </w:rPr>
        <w:t xml:space="preserve"> настоящего Порядка, по согласованию с медицинской организацией, осуществляющей ее проведение.</w:t>
      </w:r>
    </w:p>
    <w:bookmarkStart w:id="58" w:name="P58"/>
    <w:bookmarkEnd w:id="58"/>
    <w:p>
      <w:pPr>
        <w:pStyle w:val="0"/>
        <w:spacing w:before="240" w:line-rule="auto"/>
        <w:ind w:firstLine="540"/>
        <w:jc w:val="both"/>
      </w:pPr>
      <w:r>
        <w:rPr>
          <w:sz w:val="24"/>
        </w:rPr>
        <w:t xml:space="preserve">7. Диспансеризация гражданских служащих и муниципальных служащих проводится ежегодно в амбулаторных условиях врачами-специалистами, в том числе путем проведения лабораторных и функциональных исследований и иных медицинских мероприятий, в следующем объеме:</w:t>
      </w:r>
    </w:p>
    <w:p>
      <w:pPr>
        <w:pStyle w:val="0"/>
        <w:spacing w:before="240" w:line-rule="auto"/>
        <w:ind w:firstLine="540"/>
        <w:jc w:val="both"/>
      </w:pPr>
      <w:r>
        <w:rPr>
          <w:sz w:val="24"/>
        </w:rPr>
        <w:t xml:space="preserve">1) осмотры врачами-специалистами:</w:t>
      </w:r>
    </w:p>
    <w:p>
      <w:pPr>
        <w:pStyle w:val="0"/>
        <w:spacing w:before="240" w:line-rule="auto"/>
        <w:ind w:firstLine="540"/>
        <w:jc w:val="both"/>
      </w:pPr>
      <w:r>
        <w:rPr>
          <w:sz w:val="24"/>
        </w:rPr>
        <w:t xml:space="preserve">врачом-терапевтом, включающий установление диагноза,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определение группы здоровья, группы диспансерного наблюдения (с учетом заключений врачей-специалистов и результатов медицинских исследований), проведение краткого профилактического консультирования (рекомендации по здоровому питанию, уровню физической активности, отказу от курения табака и снижению риска пагубного потребления алкоголя), определение медицинских показаний для углубленного профилактического консультирования, а также для дополнительных обследований и консультаций вне рамок диспансеризации;</w:t>
      </w:r>
    </w:p>
    <w:p>
      <w:pPr>
        <w:pStyle w:val="0"/>
        <w:spacing w:before="240" w:line-rule="auto"/>
        <w:ind w:firstLine="540"/>
        <w:jc w:val="both"/>
      </w:pPr>
      <w:r>
        <w:rPr>
          <w:sz w:val="24"/>
        </w:rPr>
        <w:t xml:space="preserve">врачом-акушером-гинекологом (для женщин);</w:t>
      </w:r>
    </w:p>
    <w:p>
      <w:pPr>
        <w:pStyle w:val="0"/>
        <w:spacing w:before="240" w:line-rule="auto"/>
        <w:ind w:firstLine="540"/>
        <w:jc w:val="both"/>
      </w:pPr>
      <w:r>
        <w:rPr>
          <w:sz w:val="24"/>
        </w:rPr>
        <w:t xml:space="preserve">врачом-неврологом;</w:t>
      </w:r>
    </w:p>
    <w:p>
      <w:pPr>
        <w:pStyle w:val="0"/>
        <w:spacing w:before="240" w:line-rule="auto"/>
        <w:ind w:firstLine="540"/>
        <w:jc w:val="both"/>
      </w:pPr>
      <w:r>
        <w:rPr>
          <w:sz w:val="24"/>
        </w:rPr>
        <w:t xml:space="preserve">врачом-урологом (для мужчин);</w:t>
      </w:r>
    </w:p>
    <w:p>
      <w:pPr>
        <w:pStyle w:val="0"/>
        <w:spacing w:before="240" w:line-rule="auto"/>
        <w:ind w:firstLine="540"/>
        <w:jc w:val="both"/>
      </w:pPr>
      <w:r>
        <w:rPr>
          <w:sz w:val="24"/>
        </w:rPr>
        <w:t xml:space="preserve">врачом-хирургом;</w:t>
      </w:r>
    </w:p>
    <w:p>
      <w:pPr>
        <w:pStyle w:val="0"/>
        <w:spacing w:before="240" w:line-rule="auto"/>
        <w:ind w:firstLine="540"/>
        <w:jc w:val="both"/>
      </w:pPr>
      <w:r>
        <w:rPr>
          <w:sz w:val="24"/>
        </w:rPr>
        <w:t xml:space="preserve">врачом-офтальмологом;</w:t>
      </w:r>
    </w:p>
    <w:p>
      <w:pPr>
        <w:pStyle w:val="0"/>
        <w:spacing w:before="240" w:line-rule="auto"/>
        <w:ind w:firstLine="540"/>
        <w:jc w:val="both"/>
      </w:pPr>
      <w:r>
        <w:rPr>
          <w:sz w:val="24"/>
        </w:rPr>
        <w:t xml:space="preserve">врачом-оториноларингологом;</w:t>
      </w:r>
    </w:p>
    <w:p>
      <w:pPr>
        <w:pStyle w:val="0"/>
        <w:spacing w:before="240" w:line-rule="auto"/>
        <w:ind w:firstLine="540"/>
        <w:jc w:val="both"/>
      </w:pPr>
      <w:r>
        <w:rPr>
          <w:sz w:val="24"/>
        </w:rPr>
        <w:t xml:space="preserve">врачом-эндокринологом;</w:t>
      </w:r>
    </w:p>
    <w:p>
      <w:pPr>
        <w:pStyle w:val="0"/>
        <w:spacing w:before="240" w:line-rule="auto"/>
        <w:ind w:firstLine="540"/>
        <w:jc w:val="both"/>
      </w:pPr>
      <w:r>
        <w:rPr>
          <w:sz w:val="24"/>
        </w:rPr>
        <w:t xml:space="preserve">врачом-психиатром;</w:t>
      </w:r>
    </w:p>
    <w:p>
      <w:pPr>
        <w:pStyle w:val="0"/>
        <w:spacing w:before="240" w:line-rule="auto"/>
        <w:ind w:firstLine="540"/>
        <w:jc w:val="both"/>
      </w:pPr>
      <w:r>
        <w:rPr>
          <w:sz w:val="24"/>
        </w:rPr>
        <w:t xml:space="preserve">врачом-психиатром-наркологом;</w:t>
      </w:r>
    </w:p>
    <w:p>
      <w:pPr>
        <w:pStyle w:val="0"/>
        <w:spacing w:before="240" w:line-rule="auto"/>
        <w:ind w:firstLine="540"/>
        <w:jc w:val="both"/>
      </w:pPr>
      <w:r>
        <w:rPr>
          <w:sz w:val="24"/>
        </w:rPr>
        <w:t xml:space="preserve">2) функциональные и лабораторные исследования и иные медицинские мероприятия:</w:t>
      </w:r>
    </w:p>
    <w:p>
      <w:pPr>
        <w:pStyle w:val="0"/>
        <w:spacing w:before="240" w:line-rule="auto"/>
        <w:ind w:firstLine="540"/>
        <w:jc w:val="both"/>
      </w:pPr>
      <w:r>
        <w:rPr>
          <w:sz w:val="24"/>
        </w:rPr>
        <w:t xml:space="preserve">измерение артериального давления на периферических артериях;</w:t>
      </w:r>
    </w:p>
    <w:p>
      <w:pPr>
        <w:pStyle w:val="0"/>
        <w:spacing w:before="240" w:line-rule="auto"/>
        <w:ind w:firstLine="540"/>
        <w:jc w:val="both"/>
      </w:pPr>
      <w:r>
        <w:rPr>
          <w:sz w:val="24"/>
        </w:rPr>
        <w:t xml:space="preserve">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w:t>
      </w:r>
    </w:p>
    <w:p>
      <w:pPr>
        <w:pStyle w:val="0"/>
        <w:spacing w:before="240" w:line-rule="auto"/>
        <w:ind w:firstLine="540"/>
        <w:jc w:val="both"/>
      </w:pPr>
      <w:r>
        <w:rPr>
          <w:sz w:val="24"/>
        </w:rPr>
        <w:t xml:space="preserve">антропометрические исследования (измерение роста стоя, массы тела, окружности талии), расчет индекса массы тела;</w:t>
      </w:r>
    </w:p>
    <w:p>
      <w:pPr>
        <w:pStyle w:val="0"/>
        <w:spacing w:before="240" w:line-rule="auto"/>
        <w:ind w:firstLine="540"/>
        <w:jc w:val="both"/>
      </w:pPr>
      <w:r>
        <w:rPr>
          <w:sz w:val="24"/>
        </w:rPr>
        <w:t xml:space="preserve">определение относительного суммарного сердечно-сосудистого риска у граждан в возрасте от 21 до 39 лет и абсолютного суммарного сердечно-сосудистого риска у граждан в возрасте от 40 лет, не имеющих заболеваний, связанных с атеросклерозом, сахарного диабета второго типа и хронического заболевания почек;</w:t>
      </w:r>
    </w:p>
    <w:p>
      <w:pPr>
        <w:pStyle w:val="0"/>
        <w:spacing w:before="240" w:line-rule="auto"/>
        <w:ind w:firstLine="540"/>
        <w:jc w:val="both"/>
      </w:pPr>
      <w:r>
        <w:rPr>
          <w:sz w:val="24"/>
        </w:rPr>
        <w:t xml:space="preserve">общий (клинический) анализ крови;</w:t>
      </w:r>
    </w:p>
    <w:p>
      <w:pPr>
        <w:pStyle w:val="0"/>
        <w:spacing w:before="240" w:line-rule="auto"/>
        <w:ind w:firstLine="540"/>
        <w:jc w:val="both"/>
      </w:pPr>
      <w:r>
        <w:rPr>
          <w:sz w:val="24"/>
        </w:rPr>
        <w:t xml:space="preserve">общий (клинический) анализ мочи;</w:t>
      </w:r>
    </w:p>
    <w:p>
      <w:pPr>
        <w:pStyle w:val="0"/>
        <w:spacing w:before="240" w:line-rule="auto"/>
        <w:ind w:firstLine="540"/>
        <w:jc w:val="both"/>
      </w:pPr>
      <w:r>
        <w:rPr>
          <w:sz w:val="24"/>
        </w:rPr>
        <w:t xml:space="preserve">исследование уровня холестерина в крови;</w:t>
      </w:r>
    </w:p>
    <w:p>
      <w:pPr>
        <w:pStyle w:val="0"/>
        <w:spacing w:before="240" w:line-rule="auto"/>
        <w:ind w:firstLine="540"/>
        <w:jc w:val="both"/>
      </w:pPr>
      <w:r>
        <w:rPr>
          <w:sz w:val="24"/>
        </w:rPr>
        <w:t xml:space="preserve">исследование уровня глюкозы в крови;</w:t>
      </w:r>
    </w:p>
    <w:p>
      <w:pPr>
        <w:pStyle w:val="0"/>
        <w:spacing w:before="240" w:line-rule="auto"/>
        <w:ind w:firstLine="540"/>
        <w:jc w:val="both"/>
      </w:pPr>
      <w:r>
        <w:rPr>
          <w:sz w:val="24"/>
        </w:rPr>
        <w:t xml:space="preserve">исследование уровня общего билирубина крови;</w:t>
      </w:r>
    </w:p>
    <w:p>
      <w:pPr>
        <w:pStyle w:val="0"/>
        <w:spacing w:before="240" w:line-rule="auto"/>
        <w:ind w:firstLine="540"/>
        <w:jc w:val="both"/>
      </w:pPr>
      <w:r>
        <w:rPr>
          <w:sz w:val="24"/>
        </w:rPr>
        <w:t xml:space="preserve">исследование уровня общего белка в крови;</w:t>
      </w:r>
    </w:p>
    <w:p>
      <w:pPr>
        <w:pStyle w:val="0"/>
        <w:spacing w:before="240" w:line-rule="auto"/>
        <w:ind w:firstLine="540"/>
        <w:jc w:val="both"/>
      </w:pPr>
      <w:r>
        <w:rPr>
          <w:sz w:val="24"/>
        </w:rPr>
        <w:t xml:space="preserve">определение активности амилазы в крови;</w:t>
      </w:r>
    </w:p>
    <w:p>
      <w:pPr>
        <w:pStyle w:val="0"/>
        <w:spacing w:before="240" w:line-rule="auto"/>
        <w:ind w:firstLine="540"/>
        <w:jc w:val="both"/>
      </w:pPr>
      <w:r>
        <w:rPr>
          <w:sz w:val="24"/>
        </w:rPr>
        <w:t xml:space="preserve">исследование уровня креатинина в крови;</w:t>
      </w:r>
    </w:p>
    <w:p>
      <w:pPr>
        <w:pStyle w:val="0"/>
        <w:spacing w:before="240" w:line-rule="auto"/>
        <w:ind w:firstLine="540"/>
        <w:jc w:val="both"/>
      </w:pPr>
      <w:r>
        <w:rPr>
          <w:sz w:val="24"/>
        </w:rPr>
        <w:t xml:space="preserve">исследование уровня мочевой кислоты в крови;</w:t>
      </w:r>
    </w:p>
    <w:p>
      <w:pPr>
        <w:pStyle w:val="0"/>
        <w:spacing w:before="240" w:line-rule="auto"/>
        <w:ind w:firstLine="540"/>
        <w:jc w:val="both"/>
      </w:pPr>
      <w:r>
        <w:rPr>
          <w:sz w:val="24"/>
        </w:rPr>
        <w:t xml:space="preserve">исследование кала на скрытую кровь иммунохимическим методом (для граждан в возрасте от 45 лет и старше);</w:t>
      </w:r>
    </w:p>
    <w:p>
      <w:pPr>
        <w:pStyle w:val="0"/>
        <w:spacing w:before="240" w:line-rule="auto"/>
        <w:ind w:firstLine="540"/>
        <w:jc w:val="both"/>
      </w:pPr>
      <w:r>
        <w:rPr>
          <w:sz w:val="24"/>
        </w:rPr>
        <w:t xml:space="preserve">цитологическое исследование мазка из цервикального канала;</w:t>
      </w:r>
    </w:p>
    <w:p>
      <w:pPr>
        <w:pStyle w:val="0"/>
        <w:spacing w:before="240" w:line-rule="auto"/>
        <w:ind w:firstLine="540"/>
        <w:jc w:val="both"/>
      </w:pPr>
      <w:r>
        <w:rPr>
          <w:sz w:val="24"/>
        </w:rPr>
        <w:t xml:space="preserve">регистрация электрокардиограммы и расшифровка, описание и интерпретация электрокардиографических данных;</w:t>
      </w:r>
    </w:p>
    <w:p>
      <w:pPr>
        <w:pStyle w:val="0"/>
        <w:spacing w:before="240" w:line-rule="auto"/>
        <w:ind w:firstLine="540"/>
        <w:jc w:val="both"/>
      </w:pPr>
      <w:r>
        <w:rPr>
          <w:sz w:val="24"/>
        </w:rPr>
        <w:t xml:space="preserve">исследование уровня холестерина липопротеидов низкой плотности сыворотки крови;</w:t>
      </w:r>
    </w:p>
    <w:p>
      <w:pPr>
        <w:pStyle w:val="0"/>
        <w:spacing w:before="240" w:line-rule="auto"/>
        <w:ind w:firstLine="540"/>
        <w:jc w:val="both"/>
      </w:pPr>
      <w:r>
        <w:rPr>
          <w:sz w:val="24"/>
        </w:rPr>
        <w:t xml:space="preserve">исследование уровня триглицеридов сыворотки крови;</w:t>
      </w:r>
    </w:p>
    <w:p>
      <w:pPr>
        <w:pStyle w:val="0"/>
        <w:spacing w:before="240" w:line-rule="auto"/>
        <w:ind w:firstLine="540"/>
        <w:jc w:val="both"/>
      </w:pPr>
      <w:r>
        <w:rPr>
          <w:sz w:val="24"/>
        </w:rPr>
        <w:t xml:space="preserve">онкомаркер специфический CA-125 (женщинам после 40 лет);</w:t>
      </w:r>
    </w:p>
    <w:p>
      <w:pPr>
        <w:pStyle w:val="0"/>
        <w:spacing w:before="240" w:line-rule="auto"/>
        <w:ind w:firstLine="540"/>
        <w:jc w:val="both"/>
      </w:pPr>
      <w:r>
        <w:rPr>
          <w:sz w:val="24"/>
        </w:rPr>
        <w:t xml:space="preserve">онкомаркер специфический PSA (мужчинам после 40 лет);</w:t>
      </w:r>
    </w:p>
    <w:p>
      <w:pPr>
        <w:pStyle w:val="0"/>
        <w:spacing w:before="240" w:line-rule="auto"/>
        <w:ind w:firstLine="540"/>
        <w:jc w:val="both"/>
      </w:pPr>
      <w:r>
        <w:rPr>
          <w:sz w:val="24"/>
        </w:rPr>
        <w:t xml:space="preserve">электрокардиография;</w:t>
      </w:r>
    </w:p>
    <w:p>
      <w:pPr>
        <w:pStyle w:val="0"/>
        <w:spacing w:before="240" w:line-rule="auto"/>
        <w:ind w:firstLine="540"/>
        <w:jc w:val="both"/>
      </w:pPr>
      <w:r>
        <w:rPr>
          <w:sz w:val="24"/>
        </w:rPr>
        <w:t xml:space="preserve">флюорография (1 раз в год);</w:t>
      </w:r>
    </w:p>
    <w:p>
      <w:pPr>
        <w:pStyle w:val="0"/>
        <w:spacing w:before="240" w:line-rule="auto"/>
        <w:ind w:firstLine="540"/>
        <w:jc w:val="both"/>
      </w:pPr>
      <w:r>
        <w:rPr>
          <w:sz w:val="24"/>
        </w:rPr>
        <w:t xml:space="preserve">маммография обеих молочных желез в двух проекциях, (для женщин в возрасте от 40 лет и старше, при первичном прохождении диспансеризации, далее 1 раз в 2 года).</w:t>
      </w:r>
    </w:p>
    <w:p>
      <w:pPr>
        <w:pStyle w:val="0"/>
        <w:spacing w:before="240" w:line-rule="auto"/>
        <w:ind w:firstLine="540"/>
        <w:jc w:val="both"/>
      </w:pPr>
      <w:r>
        <w:rPr>
          <w:sz w:val="24"/>
        </w:rPr>
        <w:t xml:space="preserve">8. При проведении диспансеризации гражданских служащих и муниципальных служащих медицинскими организациями заполняется медицинская карта пациента, получающего медицинскую помощь в амбулаторных условиях (далее - медицинская карта).</w:t>
      </w:r>
    </w:p>
    <w:p>
      <w:pPr>
        <w:pStyle w:val="0"/>
        <w:spacing w:before="240" w:line-rule="auto"/>
        <w:ind w:firstLine="540"/>
        <w:jc w:val="both"/>
      </w:pPr>
      <w:r>
        <w:rPr>
          <w:sz w:val="24"/>
        </w:rPr>
        <w:t xml:space="preserve">9. Врачи-специалисты, принимающие участие в проведении диспансеризации гражданских служащих и муниципальных служащих, заносят результаты диспансеризации гражданского служащего или муниципального служащего в медицинскую карту.</w:t>
      </w:r>
    </w:p>
    <w:p>
      <w:pPr>
        <w:pStyle w:val="0"/>
        <w:spacing w:before="240" w:line-rule="auto"/>
        <w:ind w:firstLine="540"/>
        <w:jc w:val="both"/>
      </w:pPr>
      <w:r>
        <w:rPr>
          <w:sz w:val="24"/>
        </w:rPr>
        <w:t xml:space="preserve">Результаты проведенных лабораторных и функциональных исследований и результаты осмотров врачами-специалистами передаются врачу-терапевту, ответственному за проведение диспансеризации.</w:t>
      </w:r>
    </w:p>
    <w:p>
      <w:pPr>
        <w:pStyle w:val="0"/>
        <w:spacing w:before="240" w:line-rule="auto"/>
        <w:ind w:firstLine="540"/>
        <w:jc w:val="both"/>
      </w:pPr>
      <w:r>
        <w:rPr>
          <w:sz w:val="24"/>
        </w:rPr>
        <w:t xml:space="preserve">10. В случае выявления у гражданских служащих и муниципальных служащих в процессе диспансеризации медицинских показаний к проведению осмотров врачами-специалистами, медицинских исследований и мероприятий, не входящих в объем диспансеризации, предусмотренный </w:t>
      </w:r>
      <w:hyperlink w:history="0" w:anchor="P58" w:tooltip="7. Диспансеризация гражданских служащих и муниципальных служащих проводится ежегодно в амбулаторных условиях врачами-специалистами, в том числе путем проведения лабораторных и функциональных исследований и иных медицинских мероприятий, в следующем объеме:">
        <w:r>
          <w:rPr>
            <w:sz w:val="24"/>
            <w:color w:val="0000ff"/>
          </w:rPr>
          <w:t xml:space="preserve">пунктом 7</w:t>
        </w:r>
      </w:hyperlink>
      <w:r>
        <w:rPr>
          <w:sz w:val="24"/>
        </w:rPr>
        <w:t xml:space="preserve"> настоящего Порядка, они направляются вне рамок диспансеризации для получения необходимой им медицинской помощи в соответствии с положением об организации оказания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&lt;2&gt; в медицинские организации государственной и муниципальной систем здравоохранения.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3"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Часть 1 статьи 37</w:t>
        </w:r>
      </w:hyperlink>
      <w:r>
        <w:rPr>
          <w:sz w:val="24"/>
        </w:rPr>
        <w:t xml:space="preserve"> Федерального закона N 323-ФЗ.</w:t>
      </w:r>
    </w:p>
    <w:p>
      <w:pPr>
        <w:pStyle w:val="0"/>
        <w:ind w:firstLine="540"/>
        <w:jc w:val="both"/>
      </w:pPr>
      <w:r>
        <w:rPr>
          <w:sz w:val="24"/>
        </w:rPr>
      </w:r>
    </w:p>
    <w:p>
      <w:pPr>
        <w:pStyle w:val="0"/>
        <w:ind w:firstLine="540"/>
        <w:jc w:val="both"/>
      </w:pPr>
      <w:r>
        <w:rPr>
          <w:sz w:val="24"/>
        </w:rPr>
        <w:t xml:space="preserve">При проведении диспансеризации информация о результатах диспансеризации и проводимых в рамках диспансеризации осмотров врачами-специалистами, лабораторных и функциональных исследований и иных медицинских мероприятий формируется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и предоставляется в единую государственную информационную систему в сфере здравоохранения &lt;3&gt;, в том числе с целью обеспечения предоставления гражданам услуг в сфере здравоохранения в электронной форме посредством федеральной государственной информационной системы "Единый портал государственных и муниципальных услуг (функций)" &lt;4&gt;, и иных информационных систем, предусмотренных </w:t>
      </w:r>
      <w:hyperlink w:history="0" r:id="rId14"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частью 5 статьи 91</w:t>
        </w:r>
      </w:hyperlink>
      <w:r>
        <w:rPr>
          <w:sz w:val="24"/>
        </w:rPr>
        <w:t xml:space="preserve"> Федерального закона N 323-ФЗ. Указанное требование распространяется на медицинские организации,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5"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Статья 91.1</w:t>
        </w:r>
      </w:hyperlink>
      <w:r>
        <w:rPr>
          <w:sz w:val="24"/>
        </w:rPr>
        <w:t xml:space="preserve"> Федерального закона N 323-ФЗ.</w:t>
      </w:r>
    </w:p>
    <w:p>
      <w:pPr>
        <w:pStyle w:val="0"/>
        <w:spacing w:before="240" w:line-rule="auto"/>
        <w:ind w:firstLine="540"/>
        <w:jc w:val="both"/>
      </w:pPr>
      <w:r>
        <w:rPr>
          <w:sz w:val="24"/>
        </w:rPr>
        <w:t xml:space="preserve">&lt;4&gt; </w:t>
      </w:r>
      <w:hyperlink w:history="0" r:id="rId16"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Постановление</w:t>
        </w:r>
      </w:hyperlink>
      <w:r>
        <w:rPr>
          <w:sz w:val="24"/>
        </w:rP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0"/>
        <w:ind w:firstLine="540"/>
        <w:jc w:val="both"/>
      </w:pPr>
      <w:r>
        <w:rPr>
          <w:sz w:val="24"/>
        </w:rPr>
      </w:r>
    </w:p>
    <w:p>
      <w:pPr>
        <w:pStyle w:val="0"/>
        <w:ind w:firstLine="540"/>
        <w:jc w:val="both"/>
      </w:pPr>
      <w:r>
        <w:rPr>
          <w:sz w:val="24"/>
        </w:rPr>
        <w:t xml:space="preserve">11. Для определения по результатам диспансеризации группы здоровья гражданского служащего, муниципального служащего и планирования тактики его медицинского наблюдения используются следующие критерии:</w:t>
      </w:r>
    </w:p>
    <w:p>
      <w:pPr>
        <w:pStyle w:val="0"/>
        <w:spacing w:before="240" w:line-rule="auto"/>
        <w:ind w:firstLine="540"/>
        <w:jc w:val="both"/>
      </w:pPr>
      <w:r>
        <w:rPr>
          <w:sz w:val="24"/>
        </w:rPr>
        <w:t xml:space="preserve">1) I группа здоровья - гражданские служащие, муниципальные служащие, у которых не установлены хронические неинфекционные заболевания, отсутствуют факторы риска развития таких заболеваний или имеются факторы риска при низком или среднем абсолютном суммарном сердечно-сосудистом риске и которые не нуждаются в диспансерном наблюдении по поводу других заболеваний (состояний).</w:t>
      </w:r>
    </w:p>
    <w:p>
      <w:pPr>
        <w:pStyle w:val="0"/>
        <w:spacing w:before="240" w:line-rule="auto"/>
        <w:ind w:firstLine="540"/>
        <w:jc w:val="both"/>
      </w:pPr>
      <w:r>
        <w:rPr>
          <w:sz w:val="24"/>
        </w:rPr>
        <w:t xml:space="preserve">Таким гражданским служащим, муниципальным служащим в рамках диспансеризации проводится краткое профилактическое консультирование;</w:t>
      </w:r>
    </w:p>
    <w:p>
      <w:pPr>
        <w:pStyle w:val="0"/>
        <w:spacing w:before="240" w:line-rule="auto"/>
        <w:ind w:firstLine="540"/>
        <w:jc w:val="both"/>
      </w:pPr>
      <w:r>
        <w:rPr>
          <w:sz w:val="24"/>
        </w:rPr>
        <w:t xml:space="preserve">2) II группа здоровья - гражданские служащие, муниципальные служащие, у которых не установлены хронические неинфекционные заболевания, но имеются факторы риска развития таких заболеваний, как ожирение по индексу массы тела 30 кг/м</w:t>
      </w:r>
      <w:r>
        <w:rPr>
          <w:sz w:val="24"/>
          <w:vertAlign w:val="superscript"/>
        </w:rPr>
        <w:t xml:space="preserve">2</w:t>
      </w:r>
      <w:r>
        <w:rPr>
          <w:sz w:val="24"/>
        </w:rPr>
        <w:t xml:space="preserve"> и более, уровень общего холестерина более 8 ммоль/л, интенсивное курение по индексу курящего более 20, или высокий или очень высокий абсолютный суммарный сердечно-сосудистый риск, и которые не нуждаются в диспансерном наблюдении по поводу других заболеваний (состояний).</w:t>
      </w:r>
    </w:p>
    <w:p>
      <w:pPr>
        <w:pStyle w:val="0"/>
        <w:spacing w:before="240" w:line-rule="auto"/>
        <w:ind w:firstLine="540"/>
        <w:jc w:val="both"/>
      </w:pPr>
      <w:r>
        <w:rPr>
          <w:sz w:val="24"/>
        </w:rPr>
        <w:t xml:space="preserve">Таким гражданским служащим, муниципальным служащим в рамках диспансеризации проводится углубленное профилактическое консультирование;</w:t>
      </w:r>
    </w:p>
    <w:p>
      <w:pPr>
        <w:pStyle w:val="0"/>
        <w:spacing w:before="240" w:line-rule="auto"/>
        <w:ind w:firstLine="540"/>
        <w:jc w:val="both"/>
      </w:pPr>
      <w:r>
        <w:rPr>
          <w:sz w:val="24"/>
        </w:rPr>
        <w:t xml:space="preserve">3) IIIа группа здоровья - гражданские служащие, муниципальные служащие,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гражданские служащие, муниципальные служащие с подозрением на наличие этих заболеваний (состояний), нуждающиеся в дополнительном обследовании;</w:t>
      </w:r>
    </w:p>
    <w:p>
      <w:pPr>
        <w:pStyle w:val="0"/>
        <w:spacing w:before="240" w:line-rule="auto"/>
        <w:ind w:firstLine="540"/>
        <w:jc w:val="both"/>
      </w:pPr>
      <w:r>
        <w:rPr>
          <w:sz w:val="24"/>
        </w:rPr>
        <w:t xml:space="preserve">4) IIIб группа здоровья - гражданские служащие, муниципальные служащие, не имеющие хронических неинфекционных заболеваний,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гражданские служащие, муниципальные служащие с подозрением на наличие этих заболеваний, нуждающиеся в дополнительном обследовании.</w:t>
      </w:r>
    </w:p>
    <w:p>
      <w:pPr>
        <w:pStyle w:val="0"/>
        <w:spacing w:before="240" w:line-rule="auto"/>
        <w:ind w:firstLine="540"/>
        <w:jc w:val="both"/>
      </w:pPr>
      <w:r>
        <w:rPr>
          <w:sz w:val="24"/>
        </w:rPr>
        <w:t xml:space="preserve">12. По результатам дополнительного обследования группа здоровья гражданского служащего, муниципального служащего может быть изменена.</w:t>
      </w:r>
    </w:p>
    <w:p>
      <w:pPr>
        <w:pStyle w:val="0"/>
        <w:spacing w:before="240" w:line-rule="auto"/>
        <w:ind w:firstLine="540"/>
        <w:jc w:val="both"/>
      </w:pPr>
      <w:r>
        <w:rPr>
          <w:sz w:val="24"/>
        </w:rPr>
        <w:t xml:space="preserve">13. Медицинская организация по результатам прохождения диспансеризации выдает гражданскому служащему, муниципальному служащему </w:t>
      </w:r>
      <w:hyperlink w:history="0" w:anchor="P168" w:tooltip="Заключение">
        <w:r>
          <w:rPr>
            <w:sz w:val="24"/>
            <w:color w:val="0000ff"/>
          </w:rPr>
          <w:t xml:space="preserve">заключение</w:t>
        </w:r>
      </w:hyperlink>
      <w:r>
        <w:rPr>
          <w:sz w:val="24"/>
        </w:rPr>
        <w:t xml:space="preserve"> на бумажном носителе и (или) в форме электронного документа в соответствии с </w:t>
      </w:r>
      <w:hyperlink w:history="0" r:id="rId17"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пунктом 3 статьи 78</w:t>
        </w:r>
      </w:hyperlink>
      <w:r>
        <w:rPr>
          <w:sz w:val="24"/>
        </w:rPr>
        <w:t xml:space="preserve"> Федерального закона N 323-ФЗ.</w:t>
      </w:r>
    </w:p>
    <w:p>
      <w:pPr>
        <w:pStyle w:val="0"/>
        <w:spacing w:before="240" w:line-rule="auto"/>
        <w:ind w:firstLine="540"/>
        <w:jc w:val="both"/>
      </w:pPr>
      <w:r>
        <w:rPr>
          <w:sz w:val="24"/>
        </w:rPr>
        <w:t xml:space="preserve">В случае, если гражданскому служащему, муниципальному служащему по результатам диспансеризации выдано </w:t>
      </w:r>
      <w:hyperlink w:history="0" w:anchor="P168" w:tooltip="Заключение">
        <w:r>
          <w:rPr>
            <w:sz w:val="24"/>
            <w:color w:val="0000ff"/>
          </w:rPr>
          <w:t xml:space="preserve">заключение</w:t>
        </w:r>
      </w:hyperlink>
      <w:r>
        <w:rPr>
          <w:sz w:val="24"/>
        </w:rPr>
        <w:t xml:space="preserve"> о наличии у него заболевания, препятствующего поступлению на государственную гражданскую службу Российской Федерации и муниципальную службу или ее прохождению, медицинская организация, выдавшая такое </w:t>
      </w:r>
      <w:hyperlink w:history="0" w:anchor="P168" w:tooltip="Заключение">
        <w:r>
          <w:rPr>
            <w:sz w:val="24"/>
            <w:color w:val="0000ff"/>
          </w:rPr>
          <w:t xml:space="preserve">заключение</w:t>
        </w:r>
      </w:hyperlink>
      <w:r>
        <w:rPr>
          <w:sz w:val="24"/>
        </w:rPr>
        <w:t xml:space="preserve">, направляет его копию представителю органа в 10-дневный срок со дня его оформления.</w:t>
      </w:r>
    </w:p>
    <w:p>
      <w:pPr>
        <w:pStyle w:val="0"/>
        <w:spacing w:before="240" w:line-rule="auto"/>
        <w:ind w:firstLine="540"/>
        <w:jc w:val="both"/>
      </w:pPr>
      <w:hyperlink w:history="0" w:anchor="P168" w:tooltip="Заключение">
        <w:r>
          <w:rPr>
            <w:sz w:val="24"/>
            <w:color w:val="0000ff"/>
          </w:rPr>
          <w:t xml:space="preserve">Заключение</w:t>
        </w:r>
      </w:hyperlink>
      <w:r>
        <w:rPr>
          <w:sz w:val="24"/>
        </w:rPr>
        <w:t xml:space="preserve">, выданное гражданскому служащему, муниципальному служащему по результатам диспансеризации, действительно до проведения следующей диспансеризации в случае продолжения прохождения государственной гражданской службы Российской Федерации или муниципальной службы либо в течение 1 года со дня его выдачи в случае увольнения с государственной гражданской службы Российской Федерации или муниципальной службы.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201н</w:t>
      </w:r>
    </w:p>
    <w:p>
      <w:pPr>
        <w:pStyle w:val="0"/>
        <w:ind w:firstLine="540"/>
        <w:jc w:val="both"/>
      </w:pPr>
      <w:r>
        <w:rPr>
          <w:sz w:val="24"/>
        </w:rPr>
      </w:r>
    </w:p>
    <w:bookmarkStart w:id="127" w:name="P127"/>
    <w:bookmarkEnd w:id="127"/>
    <w:p>
      <w:pPr>
        <w:pStyle w:val="2"/>
        <w:jc w:val="center"/>
      </w:pPr>
      <w:r>
        <w:rPr>
          <w:sz w:val="24"/>
        </w:rPr>
        <w:t xml:space="preserve">ПЕРЕЧЕНЬ</w:t>
      </w:r>
    </w:p>
    <w:p>
      <w:pPr>
        <w:pStyle w:val="2"/>
        <w:jc w:val="center"/>
      </w:pPr>
      <w:r>
        <w:rPr>
          <w:sz w:val="24"/>
        </w:rPr>
        <w:t xml:space="preserve">ЗАБОЛЕВАНИЙ, ПРЕПЯТСТВУЮЩИХ ПОСТУПЛЕНИЮ НА ГОСУДАРСТВЕННУЮ</w:t>
      </w:r>
    </w:p>
    <w:p>
      <w:pPr>
        <w:pStyle w:val="2"/>
        <w:jc w:val="center"/>
      </w:pPr>
      <w:r>
        <w:rPr>
          <w:sz w:val="24"/>
        </w:rPr>
        <w:t xml:space="preserve">ГРАЖДАНСКУЮ СЛУЖБУ РОССИЙСКОЙ ФЕДЕРАЦИИ И МУНИЦИПАЛЬНУЮ</w:t>
      </w:r>
    </w:p>
    <w:p>
      <w:pPr>
        <w:pStyle w:val="2"/>
        <w:jc w:val="center"/>
      </w:pPr>
      <w:r>
        <w:rPr>
          <w:sz w:val="24"/>
        </w:rPr>
        <w:t xml:space="preserve">СЛУЖБУ ИЛИ ЕЕ ПРОХОЖДЕНИЮ</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45"/>
        <w:gridCol w:w="2698"/>
      </w:tblGrid>
      <w:tr>
        <w:tc>
          <w:tcPr>
            <w:tcW w:w="6345" w:type="dxa"/>
          </w:tcPr>
          <w:p>
            <w:pPr>
              <w:pStyle w:val="0"/>
              <w:jc w:val="center"/>
            </w:pPr>
            <w:r>
              <w:rPr>
                <w:sz w:val="24"/>
              </w:rPr>
              <w:t xml:space="preserve">Наименование заболеваний</w:t>
            </w:r>
          </w:p>
        </w:tc>
        <w:tc>
          <w:tcPr>
            <w:tcW w:w="2698" w:type="dxa"/>
            <w:vAlign w:val="bottom"/>
          </w:tcPr>
          <w:p>
            <w:pPr>
              <w:pStyle w:val="0"/>
              <w:jc w:val="center"/>
            </w:pPr>
            <w:r>
              <w:rPr>
                <w:sz w:val="24"/>
              </w:rPr>
              <w:t xml:space="preserve">Код по Международной статистической </w:t>
            </w:r>
            <w:hyperlink w:history="0" r:id="rId1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классификации</w:t>
              </w:r>
            </w:hyperlink>
            <w:r>
              <w:rPr>
                <w:sz w:val="24"/>
              </w:rPr>
              <w:t xml:space="preserve"> болезней и проблем, связанных со здоровьем, 10-го пересмотра</w:t>
            </w:r>
          </w:p>
        </w:tc>
      </w:tr>
      <w:tr>
        <w:tc>
          <w:tcPr>
            <w:gridSpan w:val="2"/>
            <w:tcW w:w="9043" w:type="dxa"/>
          </w:tcPr>
          <w:p>
            <w:pPr>
              <w:pStyle w:val="0"/>
              <w:outlineLvl w:val="1"/>
              <w:jc w:val="center"/>
            </w:pPr>
            <w:r>
              <w:rPr>
                <w:sz w:val="24"/>
              </w:rPr>
              <w:t xml:space="preserve">I. Психические расстройства и расстройства поведения (со средними и тяжелыми стойкими или часто обостряющимися болезненными проявлениями)</w:t>
            </w:r>
          </w:p>
        </w:tc>
      </w:tr>
      <w:tr>
        <w:tc>
          <w:tcPr>
            <w:tcW w:w="6345" w:type="dxa"/>
          </w:tcPr>
          <w:p>
            <w:pPr>
              <w:pStyle w:val="0"/>
              <w:jc w:val="both"/>
            </w:pPr>
            <w:r>
              <w:rPr>
                <w:sz w:val="24"/>
              </w:rPr>
              <w:t xml:space="preserve">Органические, включая симптоматические, психические расстройства</w:t>
            </w:r>
          </w:p>
        </w:tc>
        <w:tc>
          <w:tcPr>
            <w:tcW w:w="2698" w:type="dxa"/>
          </w:tcPr>
          <w:p>
            <w:pPr>
              <w:pStyle w:val="0"/>
              <w:jc w:val="center"/>
            </w:pPr>
            <w:r>
              <w:rPr>
                <w:sz w:val="24"/>
              </w:rPr>
              <w:t xml:space="preserve">F00 - F09</w:t>
            </w:r>
          </w:p>
        </w:tc>
      </w:tr>
      <w:tr>
        <w:tc>
          <w:tcPr>
            <w:tcW w:w="6345" w:type="dxa"/>
          </w:tcPr>
          <w:p>
            <w:pPr>
              <w:pStyle w:val="0"/>
            </w:pPr>
            <w:r>
              <w:rPr>
                <w:sz w:val="24"/>
              </w:rPr>
              <w:t xml:space="preserve">Шизофрения, шизотипические и бредовые расстройства</w:t>
            </w:r>
          </w:p>
        </w:tc>
        <w:tc>
          <w:tcPr>
            <w:tcW w:w="2698" w:type="dxa"/>
          </w:tcPr>
          <w:p>
            <w:pPr>
              <w:pStyle w:val="0"/>
              <w:jc w:val="center"/>
            </w:pPr>
            <w:r>
              <w:rPr>
                <w:sz w:val="24"/>
              </w:rPr>
              <w:t xml:space="preserve">F20 - F29</w:t>
            </w:r>
          </w:p>
        </w:tc>
      </w:tr>
      <w:tr>
        <w:tc>
          <w:tcPr>
            <w:tcW w:w="6345" w:type="dxa"/>
          </w:tcPr>
          <w:p>
            <w:pPr>
              <w:pStyle w:val="0"/>
            </w:pPr>
            <w:r>
              <w:rPr>
                <w:sz w:val="24"/>
              </w:rPr>
              <w:t xml:space="preserve">Расстройства настроения [аффективные расстройства]</w:t>
            </w:r>
          </w:p>
        </w:tc>
        <w:tc>
          <w:tcPr>
            <w:tcW w:w="2698" w:type="dxa"/>
          </w:tcPr>
          <w:p>
            <w:pPr>
              <w:pStyle w:val="0"/>
              <w:jc w:val="center"/>
            </w:pPr>
            <w:r>
              <w:rPr>
                <w:sz w:val="24"/>
              </w:rPr>
              <w:t xml:space="preserve">F30 - F39</w:t>
            </w:r>
          </w:p>
        </w:tc>
      </w:tr>
      <w:tr>
        <w:tc>
          <w:tcPr>
            <w:tcW w:w="6345" w:type="dxa"/>
          </w:tcPr>
          <w:p>
            <w:pPr>
              <w:pStyle w:val="0"/>
            </w:pPr>
            <w:r>
              <w:rPr>
                <w:sz w:val="24"/>
              </w:rPr>
              <w:t xml:space="preserve">Расстройства привычек и влечений</w:t>
            </w:r>
          </w:p>
        </w:tc>
        <w:tc>
          <w:tcPr>
            <w:tcW w:w="2698" w:type="dxa"/>
          </w:tcPr>
          <w:p>
            <w:pPr>
              <w:pStyle w:val="0"/>
              <w:jc w:val="center"/>
            </w:pPr>
            <w:r>
              <w:rPr>
                <w:sz w:val="24"/>
              </w:rPr>
              <w:t xml:space="preserve">F63</w:t>
            </w:r>
          </w:p>
        </w:tc>
      </w:tr>
      <w:tr>
        <w:tc>
          <w:tcPr>
            <w:tcW w:w="6345" w:type="dxa"/>
          </w:tcPr>
          <w:p>
            <w:pPr>
              <w:pStyle w:val="0"/>
            </w:pPr>
            <w:r>
              <w:rPr>
                <w:sz w:val="24"/>
              </w:rPr>
              <w:t xml:space="preserve">Умственная отсталость</w:t>
            </w:r>
          </w:p>
        </w:tc>
        <w:tc>
          <w:tcPr>
            <w:tcW w:w="2698" w:type="dxa"/>
          </w:tcPr>
          <w:p>
            <w:pPr>
              <w:pStyle w:val="0"/>
              <w:jc w:val="center"/>
            </w:pPr>
            <w:r>
              <w:rPr>
                <w:sz w:val="24"/>
              </w:rPr>
              <w:t xml:space="preserve">F70 - F79</w:t>
            </w:r>
          </w:p>
        </w:tc>
      </w:tr>
      <w:tr>
        <w:tc>
          <w:tcPr>
            <w:gridSpan w:val="2"/>
            <w:tcW w:w="9043" w:type="dxa"/>
          </w:tcPr>
          <w:p>
            <w:pPr>
              <w:pStyle w:val="0"/>
              <w:outlineLvl w:val="1"/>
              <w:jc w:val="center"/>
            </w:pPr>
            <w:r>
              <w:rPr>
                <w:sz w:val="24"/>
              </w:rPr>
              <w:t xml:space="preserve">II. Психические расстройства и расстройства поведения, связанные с употреблением психоактивных веществ</w:t>
            </w:r>
          </w:p>
        </w:tc>
      </w:tr>
      <w:tr>
        <w:tc>
          <w:tcPr>
            <w:tcW w:w="6345" w:type="dxa"/>
          </w:tcPr>
          <w:p>
            <w:pPr>
              <w:pStyle w:val="0"/>
              <w:jc w:val="both"/>
            </w:pPr>
            <w:r>
              <w:rPr>
                <w:sz w:val="24"/>
              </w:rPr>
              <w:t xml:space="preserve">Психические расстройства и расстройства поведения, связанные с употреблением психоактивных веществ</w:t>
            </w:r>
          </w:p>
        </w:tc>
        <w:tc>
          <w:tcPr>
            <w:tcW w:w="2698" w:type="dxa"/>
          </w:tcPr>
          <w:p>
            <w:pPr>
              <w:pStyle w:val="0"/>
              <w:jc w:val="center"/>
            </w:pPr>
            <w:r>
              <w:rPr>
                <w:sz w:val="24"/>
              </w:rPr>
              <w:t xml:space="preserve">F10 - F19</w:t>
            </w:r>
          </w:p>
        </w:tc>
      </w:tr>
      <w:tr>
        <w:tc>
          <w:tcPr>
            <w:gridSpan w:val="2"/>
            <w:tcW w:w="9043" w:type="dxa"/>
          </w:tcPr>
          <w:p>
            <w:pPr>
              <w:pStyle w:val="0"/>
              <w:outlineLvl w:val="1"/>
              <w:jc w:val="center"/>
            </w:pPr>
            <w:r>
              <w:rPr>
                <w:sz w:val="24"/>
              </w:rPr>
              <w:t xml:space="preserve">III. Болезни нервной системы</w:t>
            </w:r>
          </w:p>
        </w:tc>
      </w:tr>
      <w:tr>
        <w:tc>
          <w:tcPr>
            <w:tcW w:w="6345" w:type="dxa"/>
          </w:tcPr>
          <w:p>
            <w:pPr>
              <w:pStyle w:val="0"/>
            </w:pPr>
            <w:r>
              <w:rPr>
                <w:sz w:val="24"/>
              </w:rPr>
              <w:t xml:space="preserve">Эпилепсия</w:t>
            </w:r>
          </w:p>
        </w:tc>
        <w:tc>
          <w:tcPr>
            <w:tcW w:w="2698" w:type="dxa"/>
          </w:tcPr>
          <w:p>
            <w:pPr>
              <w:pStyle w:val="0"/>
              <w:jc w:val="center"/>
            </w:pPr>
            <w:r>
              <w:rPr>
                <w:sz w:val="24"/>
              </w:rPr>
              <w:t xml:space="preserve">G40</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201н</w:t>
      </w: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4395"/>
        <w:gridCol w:w="4638"/>
      </w:tblGrid>
      <w:tr>
        <w:tc>
          <w:tcPr>
            <w:tcW w:w="4395" w:type="dxa"/>
            <w:tcBorders>
              <w:top w:val="nil"/>
              <w:left w:val="nil"/>
              <w:bottom w:val="nil"/>
              <w:right w:val="nil"/>
            </w:tcBorders>
            <w:vMerge w:val="restart"/>
          </w:tcPr>
          <w:p>
            <w:pPr>
              <w:pStyle w:val="0"/>
              <w:jc w:val="center"/>
            </w:pPr>
            <w:r>
              <w:rPr>
                <w:sz w:val="24"/>
              </w:rPr>
            </w:r>
          </w:p>
        </w:tc>
        <w:tc>
          <w:tcPr>
            <w:tcW w:w="4638" w:type="dxa"/>
            <w:tcBorders>
              <w:top w:val="nil"/>
              <w:left w:val="nil"/>
              <w:bottom w:val="nil"/>
              <w:right w:val="nil"/>
            </w:tcBorders>
          </w:tcPr>
          <w:p>
            <w:pPr>
              <w:pStyle w:val="0"/>
              <w:jc w:val="center"/>
            </w:pPr>
            <w:r>
              <w:rPr>
                <w:sz w:val="24"/>
              </w:rPr>
              <w:t xml:space="preserve">Медицинская документация</w:t>
            </w:r>
          </w:p>
        </w:tc>
      </w:tr>
      <w:tr>
        <w:tc>
          <w:tcPr>
            <w:tcBorders>
              <w:top w:val="nil"/>
              <w:left w:val="nil"/>
              <w:bottom w:val="nil"/>
              <w:right w:val="nil"/>
            </w:tcBorders>
            <w:vMerge w:val="continue"/>
          </w:tcPr>
          <w:p/>
        </w:tc>
        <w:tc>
          <w:tcPr>
            <w:tcW w:w="4638" w:type="dxa"/>
            <w:tcBorders>
              <w:top w:val="nil"/>
              <w:left w:val="nil"/>
              <w:bottom w:val="nil"/>
              <w:right w:val="nil"/>
            </w:tcBorders>
          </w:tcPr>
          <w:p>
            <w:pPr>
              <w:pStyle w:val="0"/>
              <w:jc w:val="center"/>
            </w:pPr>
            <w:r>
              <w:rPr>
                <w:sz w:val="24"/>
              </w:rPr>
              <w:t xml:space="preserve">Учетная форма N 001-ГС/у</w:t>
            </w:r>
          </w:p>
        </w:tc>
      </w:tr>
      <w:tr>
        <w:tc>
          <w:tcPr>
            <w:tcBorders>
              <w:top w:val="nil"/>
              <w:left w:val="nil"/>
              <w:bottom w:val="nil"/>
              <w:right w:val="nil"/>
            </w:tcBorders>
            <w:vMerge w:val="continue"/>
          </w:tcPr>
          <w:p/>
        </w:tc>
        <w:tc>
          <w:tcPr>
            <w:tcW w:w="4638" w:type="dxa"/>
            <w:tcBorders>
              <w:top w:val="nil"/>
              <w:left w:val="nil"/>
              <w:bottom w:val="nil"/>
              <w:right w:val="nil"/>
            </w:tcBorders>
          </w:tcPr>
          <w:p>
            <w:pPr>
              <w:pStyle w:val="0"/>
              <w:jc w:val="center"/>
            </w:pPr>
            <w:r>
              <w:rPr>
                <w:sz w:val="24"/>
              </w:rPr>
              <w:t xml:space="preserve">Утверждена приказом</w:t>
            </w:r>
          </w:p>
          <w:p>
            <w:pPr>
              <w:pStyle w:val="0"/>
              <w:jc w:val="center"/>
            </w:pPr>
            <w:r>
              <w:rPr>
                <w:sz w:val="24"/>
              </w:rPr>
              <w:t xml:space="preserve">Министерства здравоохранения Российской Федерации</w:t>
            </w:r>
          </w:p>
          <w:p>
            <w:pPr>
              <w:pStyle w:val="0"/>
              <w:jc w:val="center"/>
            </w:pPr>
            <w:r>
              <w:rPr>
                <w:sz w:val="24"/>
              </w:rPr>
              <w:t xml:space="preserve">от 14.04.2025 N 201н</w:t>
            </w:r>
          </w:p>
        </w:tc>
      </w:tr>
    </w:tbl>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9025"/>
      </w:tblGrid>
      <w:tr>
        <w:tc>
          <w:tcPr>
            <w:tcW w:w="9025" w:type="dxa"/>
            <w:tcBorders>
              <w:top w:val="nil"/>
              <w:left w:val="nil"/>
              <w:bottom w:val="nil"/>
              <w:right w:val="nil"/>
            </w:tcBorders>
          </w:tcPr>
          <w:bookmarkStart w:id="168" w:name="P168"/>
          <w:bookmarkEnd w:id="168"/>
          <w:p>
            <w:pPr>
              <w:pStyle w:val="0"/>
              <w:jc w:val="center"/>
            </w:pPr>
            <w:r>
              <w:rPr>
                <w:sz w:val="24"/>
              </w:rPr>
              <w:t xml:space="preserve">Заключение</w:t>
            </w:r>
          </w:p>
          <w:p>
            <w:pPr>
              <w:pStyle w:val="0"/>
              <w:jc w:val="center"/>
            </w:pPr>
            <w:r>
              <w:rPr>
                <w:sz w:val="24"/>
              </w:rPr>
              <w:t xml:space="preserve">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r>
      <w:tr>
        <w:tc>
          <w:tcPr>
            <w:tcW w:w="9025" w:type="dxa"/>
            <w:tcBorders>
              <w:top w:val="nil"/>
              <w:left w:val="nil"/>
              <w:bottom w:val="nil"/>
              <w:right w:val="nil"/>
            </w:tcBorders>
          </w:tcPr>
          <w:p>
            <w:pPr>
              <w:pStyle w:val="0"/>
              <w:jc w:val="center"/>
            </w:pPr>
            <w:r>
              <w:rPr>
                <w:sz w:val="24"/>
              </w:rPr>
              <w:t xml:space="preserve">от "__" _______________ 20__ г.</w:t>
            </w:r>
          </w:p>
        </w:tc>
      </w:tr>
    </w:tbl>
    <w:p>
      <w:pPr>
        <w:pStyle w:val="0"/>
      </w:pPr>
      <w:r>
        <w:rPr>
          <w:sz w:val="24"/>
        </w:rPr>
      </w:r>
    </w:p>
    <w:tbl>
      <w:tblPr>
        <w:tblInd w:w="0" w:type="dxa"/>
        <w:tblLayout w:type="fixed"/>
        <w:tblCellMar>
          <w:top w:w="102" w:type="dxa"/>
          <w:left w:w="62" w:type="dxa"/>
          <w:bottom w:w="102" w:type="dxa"/>
          <w:right w:w="62" w:type="dxa"/>
        </w:tblCellMar>
      </w:tblPr>
      <w:tblGrid>
        <w:gridCol w:w="1574"/>
        <w:gridCol w:w="734"/>
        <w:gridCol w:w="2504"/>
        <w:gridCol w:w="419"/>
        <w:gridCol w:w="270"/>
        <w:gridCol w:w="3524"/>
      </w:tblGrid>
      <w:tr>
        <w:tc>
          <w:tcPr>
            <w:tcW w:w="1574" w:type="dxa"/>
            <w:vAlign w:val="bottom"/>
            <w:tcBorders>
              <w:top w:val="nil"/>
              <w:left w:val="nil"/>
              <w:bottom w:val="nil"/>
              <w:right w:val="nil"/>
            </w:tcBorders>
          </w:tcPr>
          <w:p>
            <w:pPr>
              <w:pStyle w:val="0"/>
              <w:ind w:firstLine="283"/>
              <w:jc w:val="both"/>
            </w:pPr>
            <w:r>
              <w:rPr>
                <w:sz w:val="24"/>
              </w:rPr>
              <w:t xml:space="preserve">1. Выдано</w:t>
            </w:r>
          </w:p>
        </w:tc>
        <w:tc>
          <w:tcPr>
            <w:gridSpan w:val="5"/>
            <w:tcW w:w="7451" w:type="dxa"/>
            <w:tcBorders>
              <w:top w:val="nil"/>
              <w:left w:val="nil"/>
              <w:bottom w:val="single" w:sz="4"/>
              <w:right w:val="nil"/>
            </w:tcBorders>
          </w:tcPr>
          <w:p>
            <w:pPr>
              <w:pStyle w:val="0"/>
              <w:jc w:val="both"/>
            </w:pPr>
            <w:r>
              <w:rPr>
                <w:sz w:val="24"/>
              </w:rPr>
            </w:r>
          </w:p>
        </w:tc>
      </w:tr>
      <w:tr>
        <w:tc>
          <w:tcPr>
            <w:tcW w:w="1574" w:type="dxa"/>
            <w:tcBorders>
              <w:top w:val="nil"/>
              <w:left w:val="nil"/>
              <w:bottom w:val="nil"/>
              <w:right w:val="nil"/>
            </w:tcBorders>
          </w:tcPr>
          <w:p>
            <w:pPr>
              <w:pStyle w:val="0"/>
              <w:ind w:firstLine="283"/>
              <w:jc w:val="both"/>
            </w:pPr>
            <w:r>
              <w:rPr>
                <w:sz w:val="24"/>
              </w:rPr>
            </w:r>
          </w:p>
        </w:tc>
        <w:tc>
          <w:tcPr>
            <w:gridSpan w:val="5"/>
            <w:tcW w:w="7451" w:type="dxa"/>
            <w:tcBorders>
              <w:top w:val="single" w:sz="4"/>
              <w:left w:val="nil"/>
              <w:bottom w:val="nil"/>
              <w:right w:val="nil"/>
            </w:tcBorders>
          </w:tcPr>
          <w:p>
            <w:pPr>
              <w:pStyle w:val="0"/>
              <w:jc w:val="center"/>
            </w:pPr>
            <w:r>
              <w:rPr>
                <w:sz w:val="24"/>
              </w:rPr>
              <w:t xml:space="preserve">(наименование и адрес медицинской организации)</w:t>
            </w:r>
          </w:p>
        </w:tc>
      </w:tr>
      <w:tr>
        <w:tc>
          <w:tcPr>
            <w:gridSpan w:val="6"/>
            <w:tcW w:w="9025" w:type="dxa"/>
            <w:tcBorders>
              <w:top w:val="nil"/>
              <w:left w:val="nil"/>
              <w:bottom w:val="nil"/>
              <w:right w:val="nil"/>
            </w:tcBorders>
          </w:tcPr>
          <w:p>
            <w:pPr>
              <w:pStyle w:val="0"/>
              <w:ind w:firstLine="283"/>
              <w:jc w:val="both"/>
            </w:pPr>
            <w:r>
              <w:rPr>
                <w:sz w:val="24"/>
              </w:rPr>
              <w:t xml:space="preserve">2. Наименование и адрес федерального государственного органа, органа публичной власти федеральной территории, государственного органа субъекта Российской Федерации, органа местного самоуправления, куда представляется заключение (допускается указывать "Представляется по месту требования" без конкретизации места представления, если заключение выдается поступающему на государственную гражданскую службу Российской Федерации или муниципальную службу):</w:t>
            </w:r>
          </w:p>
        </w:tc>
      </w:tr>
      <w:tr>
        <w:tc>
          <w:tcPr>
            <w:gridSpan w:val="6"/>
            <w:tcW w:w="9025" w:type="dxa"/>
            <w:tcBorders>
              <w:top w:val="nil"/>
              <w:left w:val="nil"/>
              <w:bottom w:val="single" w:sz="4"/>
              <w:right w:val="nil"/>
            </w:tcBorders>
          </w:tcPr>
          <w:p>
            <w:pPr>
              <w:pStyle w:val="0"/>
            </w:pPr>
            <w:r>
              <w:rPr>
                <w:sz w:val="24"/>
              </w:rPr>
            </w:r>
          </w:p>
        </w:tc>
      </w:tr>
      <w:tr>
        <w:tblPrEx>
          <w:tblBorders>
            <w:insideH w:val="single" w:sz="4"/>
          </w:tblBorders>
        </w:tblPrEx>
        <w:tc>
          <w:tcPr>
            <w:gridSpan w:val="6"/>
            <w:tcW w:w="9025"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812" w:type="dxa"/>
            <w:vAlign w:val="bottom"/>
            <w:tcBorders>
              <w:top w:val="single" w:sz="4"/>
              <w:left w:val="nil"/>
              <w:bottom w:val="nil"/>
              <w:right w:val="nil"/>
            </w:tcBorders>
          </w:tcPr>
          <w:p>
            <w:pPr>
              <w:pStyle w:val="0"/>
              <w:ind w:firstLine="283"/>
              <w:jc w:val="both"/>
            </w:pPr>
            <w:r>
              <w:rPr>
                <w:sz w:val="24"/>
              </w:rPr>
              <w:t xml:space="preserve">3. Фамилия, имя, отчество (при наличии)</w:t>
            </w:r>
          </w:p>
        </w:tc>
        <w:tc>
          <w:tcPr>
            <w:gridSpan w:val="3"/>
            <w:tcW w:w="4213" w:type="dxa"/>
            <w:tcBorders>
              <w:top w:val="single" w:sz="4"/>
              <w:left w:val="nil"/>
              <w:bottom w:val="single" w:sz="4"/>
              <w:right w:val="nil"/>
            </w:tcBorders>
          </w:tcPr>
          <w:p>
            <w:pPr>
              <w:pStyle w:val="0"/>
              <w:jc w:val="both"/>
            </w:pPr>
            <w:r>
              <w:rPr>
                <w:sz w:val="24"/>
              </w:rPr>
            </w:r>
          </w:p>
        </w:tc>
      </w:tr>
      <w:tr>
        <w:tc>
          <w:tcPr>
            <w:gridSpan w:val="6"/>
            <w:tcW w:w="9025" w:type="dxa"/>
            <w:tcBorders>
              <w:top w:val="nil"/>
              <w:left w:val="nil"/>
              <w:bottom w:val="single" w:sz="4"/>
              <w:right w:val="nil"/>
            </w:tcBorders>
          </w:tcPr>
          <w:p>
            <w:pPr>
              <w:pStyle w:val="0"/>
            </w:pPr>
            <w:r>
              <w:rPr>
                <w:sz w:val="24"/>
              </w:rPr>
            </w:r>
          </w:p>
        </w:tc>
      </w:tr>
      <w:tr>
        <w:tc>
          <w:tcPr>
            <w:gridSpan w:val="6"/>
            <w:tcW w:w="9025" w:type="dxa"/>
            <w:tcBorders>
              <w:top w:val="single" w:sz="4"/>
              <w:left w:val="nil"/>
              <w:bottom w:val="nil"/>
              <w:right w:val="nil"/>
            </w:tcBorders>
          </w:tcPr>
          <w:p>
            <w:pPr>
              <w:pStyle w:val="0"/>
              <w:jc w:val="center"/>
            </w:pPr>
            <w:r>
              <w:rPr>
                <w:sz w:val="24"/>
              </w:rPr>
              <w:t xml:space="preserve">(фамилия, имя, отчество (при наличии) федерального государственного гражданского служащего, государственного гражданского служащего субъекта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tc>
      </w:tr>
      <w:tr>
        <w:tc>
          <w:tcPr>
            <w:gridSpan w:val="5"/>
            <w:tcW w:w="5501" w:type="dxa"/>
            <w:vAlign w:val="bottom"/>
            <w:tcBorders>
              <w:top w:val="nil"/>
              <w:left w:val="nil"/>
              <w:bottom w:val="nil"/>
              <w:right w:val="nil"/>
            </w:tcBorders>
          </w:tcPr>
          <w:p>
            <w:pPr>
              <w:pStyle w:val="0"/>
              <w:ind w:firstLine="283"/>
              <w:jc w:val="both"/>
            </w:pPr>
            <w:r>
              <w:rPr>
                <w:sz w:val="24"/>
              </w:rPr>
              <w:t xml:space="preserve">4. Пол (мужской, женский) (нужное подчеркнуть)</w:t>
            </w:r>
          </w:p>
        </w:tc>
        <w:tc>
          <w:tcPr>
            <w:tcW w:w="3524" w:type="dxa"/>
            <w:tcBorders>
              <w:top w:val="nil"/>
              <w:left w:val="nil"/>
              <w:bottom w:val="nil"/>
              <w:right w:val="nil"/>
            </w:tcBorders>
          </w:tcPr>
          <w:p>
            <w:pPr>
              <w:pStyle w:val="0"/>
              <w:jc w:val="both"/>
            </w:pPr>
            <w:r>
              <w:rPr>
                <w:sz w:val="24"/>
              </w:rPr>
            </w:r>
          </w:p>
        </w:tc>
      </w:tr>
      <w:tr>
        <w:tc>
          <w:tcPr>
            <w:gridSpan w:val="2"/>
            <w:tcW w:w="2308" w:type="dxa"/>
            <w:vAlign w:val="bottom"/>
            <w:tcBorders>
              <w:top w:val="nil"/>
              <w:left w:val="nil"/>
              <w:bottom w:val="nil"/>
              <w:right w:val="nil"/>
            </w:tcBorders>
          </w:tcPr>
          <w:p>
            <w:pPr>
              <w:pStyle w:val="0"/>
              <w:ind w:firstLine="283"/>
              <w:jc w:val="both"/>
            </w:pPr>
            <w:r>
              <w:rPr>
                <w:sz w:val="24"/>
              </w:rPr>
              <w:t xml:space="preserve">5. Дата рождения</w:t>
            </w:r>
          </w:p>
        </w:tc>
        <w:tc>
          <w:tcPr>
            <w:gridSpan w:val="4"/>
            <w:tcW w:w="6717" w:type="dxa"/>
            <w:tcBorders>
              <w:top w:val="nil"/>
              <w:left w:val="nil"/>
              <w:bottom w:val="single" w:sz="4"/>
              <w:right w:val="nil"/>
            </w:tcBorders>
          </w:tcPr>
          <w:p>
            <w:pPr>
              <w:pStyle w:val="0"/>
              <w:jc w:val="both"/>
            </w:pPr>
            <w:r>
              <w:rPr>
                <w:sz w:val="24"/>
              </w:rPr>
            </w:r>
          </w:p>
        </w:tc>
      </w:tr>
      <w:tr>
        <w:tc>
          <w:tcPr>
            <w:gridSpan w:val="4"/>
            <w:tcW w:w="5231" w:type="dxa"/>
            <w:vAlign w:val="bottom"/>
            <w:tcBorders>
              <w:top w:val="nil"/>
              <w:left w:val="nil"/>
              <w:bottom w:val="nil"/>
              <w:right w:val="nil"/>
            </w:tcBorders>
          </w:tcPr>
          <w:p>
            <w:pPr>
              <w:pStyle w:val="0"/>
              <w:ind w:firstLine="283"/>
              <w:jc w:val="both"/>
            </w:pPr>
            <w:r>
              <w:rPr>
                <w:sz w:val="24"/>
              </w:rPr>
              <w:t xml:space="preserve">6. Адрес места жительства (места пребывания)</w:t>
            </w:r>
          </w:p>
        </w:tc>
        <w:tc>
          <w:tcPr>
            <w:gridSpan w:val="2"/>
            <w:tcW w:w="3794" w:type="dxa"/>
            <w:tcBorders>
              <w:top w:val="single" w:sz="4"/>
              <w:left w:val="nil"/>
              <w:bottom w:val="single" w:sz="4"/>
              <w:right w:val="nil"/>
            </w:tcBorders>
          </w:tcPr>
          <w:p>
            <w:pPr>
              <w:pStyle w:val="0"/>
              <w:jc w:val="both"/>
            </w:pPr>
            <w:r>
              <w:rPr>
                <w:sz w:val="24"/>
              </w:rPr>
            </w:r>
          </w:p>
        </w:tc>
      </w:tr>
      <w:tr>
        <w:tc>
          <w:tcPr>
            <w:gridSpan w:val="6"/>
            <w:tcW w:w="9025" w:type="dxa"/>
            <w:tcBorders>
              <w:top w:val="nil"/>
              <w:left w:val="nil"/>
              <w:bottom w:val="single" w:sz="4"/>
              <w:right w:val="nil"/>
            </w:tcBorders>
          </w:tcPr>
          <w:p>
            <w:pPr>
              <w:pStyle w:val="0"/>
            </w:pPr>
            <w:r>
              <w:rPr>
                <w:sz w:val="24"/>
              </w:rPr>
            </w:r>
          </w:p>
        </w:tc>
      </w:tr>
      <w:tr>
        <w:tblPrEx>
          <w:tblBorders>
            <w:insideH w:val="single" w:sz="4"/>
          </w:tblBorders>
        </w:tblPrEx>
        <w:tc>
          <w:tcPr>
            <w:gridSpan w:val="6"/>
            <w:tcW w:w="9025" w:type="dxa"/>
            <w:tcBorders>
              <w:top w:val="single" w:sz="4"/>
              <w:left w:val="nil"/>
              <w:bottom w:val="nil"/>
              <w:right w:val="nil"/>
            </w:tcBorders>
          </w:tcPr>
          <w:p>
            <w:pPr>
              <w:pStyle w:val="0"/>
              <w:ind w:firstLine="283"/>
              <w:jc w:val="both"/>
            </w:pPr>
            <w:r>
              <w:rPr>
                <w:sz w:val="24"/>
              </w:rPr>
              <w:t xml:space="preserve">7. Заключение:</w:t>
            </w:r>
          </w:p>
          <w:p>
            <w:pPr>
              <w:pStyle w:val="0"/>
              <w:ind w:firstLine="283"/>
              <w:jc w:val="both"/>
            </w:pPr>
            <w:r>
              <w:rPr>
                <w:sz w:val="24"/>
              </w:rPr>
              <w:t xml:space="preserve">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(нужное подчеркнуть).</w:t>
            </w:r>
          </w:p>
        </w:tc>
      </w:tr>
    </w:tbl>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4725"/>
        <w:gridCol w:w="340"/>
        <w:gridCol w:w="1325"/>
        <w:gridCol w:w="340"/>
        <w:gridCol w:w="2300"/>
      </w:tblGrid>
      <w:tr>
        <w:tc>
          <w:tcPr>
            <w:tcW w:w="4725" w:type="dxa"/>
            <w:vAlign w:val="bottom"/>
            <w:tcBorders>
              <w:top w:val="nil"/>
              <w:left w:val="nil"/>
              <w:bottom w:val="nil"/>
              <w:right w:val="nil"/>
            </w:tcBorders>
          </w:tcPr>
          <w:p>
            <w:pPr>
              <w:pStyle w:val="0"/>
              <w:ind w:firstLine="283"/>
              <w:jc w:val="both"/>
            </w:pPr>
            <w:r>
              <w:rPr>
                <w:sz w:val="24"/>
              </w:rPr>
              <w:t xml:space="preserve">Должность врача, выдавшего заключение</w:t>
            </w:r>
          </w:p>
        </w:tc>
        <w:tc>
          <w:tcPr>
            <w:tcW w:w="340" w:type="dxa"/>
            <w:tcBorders>
              <w:top w:val="nil"/>
              <w:left w:val="nil"/>
              <w:bottom w:val="nil"/>
              <w:right w:val="nil"/>
            </w:tcBorders>
          </w:tcPr>
          <w:p>
            <w:pPr>
              <w:pStyle w:val="0"/>
            </w:pPr>
            <w:r>
              <w:rPr>
                <w:sz w:val="24"/>
              </w:rPr>
            </w:r>
          </w:p>
        </w:tc>
        <w:tc>
          <w:tcPr>
            <w:tcW w:w="1325" w:type="dxa"/>
            <w:vAlign w:val="bottom"/>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r>
          </w:p>
        </w:tc>
        <w:tc>
          <w:tcPr>
            <w:tcW w:w="2300" w:type="dxa"/>
            <w:vAlign w:val="bottom"/>
            <w:tcBorders>
              <w:top w:val="nil"/>
              <w:left w:val="nil"/>
              <w:bottom w:val="single" w:sz="4"/>
              <w:right w:val="nil"/>
            </w:tcBorders>
          </w:tcPr>
          <w:p>
            <w:pPr>
              <w:pStyle w:val="0"/>
            </w:pPr>
            <w:r>
              <w:rPr>
                <w:sz w:val="24"/>
              </w:rPr>
            </w:r>
          </w:p>
        </w:tc>
      </w:tr>
      <w:tr>
        <w:tc>
          <w:tcPr>
            <w:tcW w:w="4725" w:type="dxa"/>
            <w:tcBorders>
              <w:top w:val="nil"/>
              <w:left w:val="nil"/>
              <w:bottom w:val="nil"/>
              <w:right w:val="nil"/>
            </w:tcBorders>
          </w:tcPr>
          <w:p>
            <w:pPr>
              <w:pStyle w:val="0"/>
              <w:ind w:firstLine="283"/>
              <w:jc w:val="both"/>
            </w:pPr>
            <w:r>
              <w:rPr>
                <w:sz w:val="24"/>
              </w:rPr>
            </w:r>
          </w:p>
        </w:tc>
        <w:tc>
          <w:tcPr>
            <w:tcW w:w="340" w:type="dxa"/>
            <w:tcBorders>
              <w:top w:val="nil"/>
              <w:left w:val="nil"/>
              <w:bottom w:val="nil"/>
              <w:right w:val="nil"/>
            </w:tcBorders>
          </w:tcPr>
          <w:p>
            <w:pPr>
              <w:pStyle w:val="0"/>
            </w:pPr>
            <w:r>
              <w:rPr>
                <w:sz w:val="24"/>
              </w:rPr>
            </w:r>
          </w:p>
        </w:tc>
        <w:tc>
          <w:tcPr>
            <w:tcW w:w="132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jc w:val="center"/>
            </w:pPr>
            <w:r>
              <w:rPr>
                <w:sz w:val="24"/>
              </w:rPr>
            </w:r>
          </w:p>
        </w:tc>
        <w:tc>
          <w:tcPr>
            <w:tcW w:w="2300"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4725" w:type="dxa"/>
            <w:vAlign w:val="bottom"/>
            <w:tcBorders>
              <w:top w:val="nil"/>
              <w:left w:val="nil"/>
              <w:bottom w:val="nil"/>
              <w:right w:val="nil"/>
            </w:tcBorders>
          </w:tcPr>
          <w:p>
            <w:pPr>
              <w:pStyle w:val="0"/>
              <w:ind w:firstLine="283"/>
              <w:jc w:val="both"/>
            </w:pPr>
            <w:r>
              <w:rPr>
                <w:sz w:val="24"/>
              </w:rPr>
              <w:t xml:space="preserve">Руководитель медицинской организации</w:t>
            </w:r>
          </w:p>
        </w:tc>
        <w:tc>
          <w:tcPr>
            <w:tcW w:w="340" w:type="dxa"/>
            <w:tcBorders>
              <w:top w:val="nil"/>
              <w:left w:val="nil"/>
              <w:bottom w:val="nil"/>
              <w:right w:val="nil"/>
            </w:tcBorders>
          </w:tcPr>
          <w:p>
            <w:pPr>
              <w:pStyle w:val="0"/>
            </w:pPr>
            <w:r>
              <w:rPr>
                <w:sz w:val="24"/>
              </w:rPr>
            </w:r>
          </w:p>
        </w:tc>
        <w:tc>
          <w:tcPr>
            <w:tcW w:w="1325" w:type="dxa"/>
            <w:tcBorders>
              <w:top w:val="nil"/>
              <w:left w:val="nil"/>
              <w:bottom w:val="single" w:sz="4"/>
              <w:right w:val="nil"/>
            </w:tcBorders>
          </w:tcPr>
          <w:p>
            <w:pPr>
              <w:pStyle w:val="0"/>
              <w:jc w:val="center"/>
            </w:pPr>
            <w:r>
              <w:rPr>
                <w:sz w:val="24"/>
              </w:rPr>
            </w:r>
          </w:p>
        </w:tc>
        <w:tc>
          <w:tcPr>
            <w:tcW w:w="340" w:type="dxa"/>
            <w:tcBorders>
              <w:top w:val="nil"/>
              <w:left w:val="nil"/>
              <w:bottom w:val="nil"/>
              <w:right w:val="nil"/>
            </w:tcBorders>
          </w:tcPr>
          <w:p>
            <w:pPr>
              <w:pStyle w:val="0"/>
              <w:jc w:val="center"/>
            </w:pPr>
            <w:r>
              <w:rPr>
                <w:sz w:val="24"/>
              </w:rPr>
            </w:r>
          </w:p>
        </w:tc>
        <w:tc>
          <w:tcPr>
            <w:tcW w:w="2300" w:type="dxa"/>
            <w:tcBorders>
              <w:top w:val="nil"/>
              <w:left w:val="nil"/>
              <w:bottom w:val="single" w:sz="4"/>
              <w:right w:val="nil"/>
            </w:tcBorders>
          </w:tcPr>
          <w:p>
            <w:pPr>
              <w:pStyle w:val="0"/>
              <w:jc w:val="center"/>
            </w:pPr>
            <w:r>
              <w:rPr>
                <w:sz w:val="24"/>
              </w:rPr>
            </w:r>
          </w:p>
        </w:tc>
      </w:tr>
      <w:tr>
        <w:tc>
          <w:tcPr>
            <w:tcW w:w="4725" w:type="dxa"/>
            <w:vAlign w:val="bottom"/>
            <w:tcBorders>
              <w:top w:val="nil"/>
              <w:left w:val="nil"/>
              <w:bottom w:val="nil"/>
              <w:right w:val="nil"/>
            </w:tcBorders>
          </w:tcPr>
          <w:p>
            <w:pPr>
              <w:pStyle w:val="0"/>
              <w:ind w:firstLine="283"/>
              <w:jc w:val="both"/>
            </w:pPr>
            <w:r>
              <w:rPr>
                <w:sz w:val="24"/>
              </w:rPr>
            </w:r>
          </w:p>
        </w:tc>
        <w:tc>
          <w:tcPr>
            <w:tcW w:w="340" w:type="dxa"/>
            <w:tcBorders>
              <w:top w:val="nil"/>
              <w:left w:val="nil"/>
              <w:bottom w:val="nil"/>
              <w:right w:val="nil"/>
            </w:tcBorders>
          </w:tcPr>
          <w:p>
            <w:pPr>
              <w:pStyle w:val="0"/>
            </w:pPr>
            <w:r>
              <w:rPr>
                <w:sz w:val="24"/>
              </w:rPr>
            </w:r>
          </w:p>
        </w:tc>
        <w:tc>
          <w:tcPr>
            <w:tcW w:w="132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jc w:val="center"/>
            </w:pPr>
            <w:r>
              <w:rPr>
                <w:sz w:val="24"/>
              </w:rPr>
            </w:r>
          </w:p>
        </w:tc>
        <w:tc>
          <w:tcPr>
            <w:tcW w:w="2300"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4725" w:type="dxa"/>
            <w:tcBorders>
              <w:top w:val="nil"/>
              <w:left w:val="nil"/>
              <w:bottom w:val="nil"/>
              <w:right w:val="nil"/>
            </w:tcBorders>
          </w:tcPr>
          <w:p>
            <w:pPr>
              <w:pStyle w:val="0"/>
              <w:ind w:firstLine="283"/>
              <w:jc w:val="both"/>
            </w:pPr>
            <w:r>
              <w:rPr>
                <w:sz w:val="24"/>
              </w:rPr>
              <w:t xml:space="preserve">Место печати медицинской организации</w:t>
            </w:r>
          </w:p>
        </w:tc>
        <w:tc>
          <w:tcPr>
            <w:tcW w:w="340" w:type="dxa"/>
            <w:tcBorders>
              <w:top w:val="nil"/>
              <w:left w:val="nil"/>
              <w:bottom w:val="nil"/>
              <w:right w:val="nil"/>
            </w:tcBorders>
          </w:tcPr>
          <w:p>
            <w:pPr>
              <w:pStyle w:val="0"/>
            </w:pPr>
            <w:r>
              <w:rPr>
                <w:sz w:val="24"/>
              </w:rPr>
            </w:r>
          </w:p>
        </w:tc>
        <w:tc>
          <w:tcPr>
            <w:tcW w:w="132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jc w:val="both"/>
            </w:pPr>
            <w:r>
              <w:rPr>
                <w:sz w:val="24"/>
              </w:rPr>
            </w:r>
          </w:p>
        </w:tc>
        <w:tc>
          <w:tcPr>
            <w:tcW w:w="2300" w:type="dxa"/>
            <w:tcBorders>
              <w:top w:val="nil"/>
              <w:left w:val="nil"/>
              <w:bottom w:val="nil"/>
              <w:right w:val="nil"/>
            </w:tcBorders>
          </w:tcPr>
          <w:p>
            <w:pPr>
              <w:pStyle w:val="0"/>
            </w:pPr>
            <w:r>
              <w:rPr>
                <w:sz w:val="24"/>
              </w:rPr>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14.04.2025 N 201н</w:t>
            <w:br/>
            <w:t>"Об утверждении Порядка прохождения диспансеризации федеральными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10654&amp;date=05.08.2025&amp;dst=198&amp;field=134" TargetMode = "External"/>
	<Relationship Id="rId8" Type="http://schemas.openxmlformats.org/officeDocument/2006/relationships/hyperlink" Target="https://login.consultant.ru/link/?req=doc&amp;base=LAW&amp;n=487004&amp;date=05.08.2025&amp;dst=66&amp;field=134" TargetMode = "External"/>
	<Relationship Id="rId9" Type="http://schemas.openxmlformats.org/officeDocument/2006/relationships/hyperlink" Target="https://login.consultant.ru/link/?req=doc&amp;base=LAW&amp;n=504021&amp;date=05.08.2025&amp;dst=100084&amp;field=134" TargetMode = "External"/>
	<Relationship Id="rId10" Type="http://schemas.openxmlformats.org/officeDocument/2006/relationships/hyperlink" Target="https://login.consultant.ru/link/?req=doc&amp;base=LAW&amp;n=96619&amp;date=05.08.2025" TargetMode = "External"/>
	<Relationship Id="rId11" Type="http://schemas.openxmlformats.org/officeDocument/2006/relationships/hyperlink" Target="https://login.consultant.ru/link/?req=doc&amp;base=LAW&amp;n=494990&amp;date=05.08.2025" TargetMode = "External"/>
	<Relationship Id="rId12" Type="http://schemas.openxmlformats.org/officeDocument/2006/relationships/hyperlink" Target="https://login.consultant.ru/link/?req=doc&amp;base=LAW&amp;n=510626&amp;date=05.08.2025&amp;dst=100252&amp;field=134" TargetMode = "External"/>
	<Relationship Id="rId13" Type="http://schemas.openxmlformats.org/officeDocument/2006/relationships/hyperlink" Target="https://login.consultant.ru/link/?req=doc&amp;base=LAW&amp;n=510626&amp;date=05.08.2025&amp;dst=352&amp;field=134" TargetMode = "External"/>
	<Relationship Id="rId14" Type="http://schemas.openxmlformats.org/officeDocument/2006/relationships/hyperlink" Target="https://login.consultant.ru/link/?req=doc&amp;base=LAW&amp;n=510626&amp;date=05.08.2025&amp;dst=249&amp;field=134" TargetMode = "External"/>
	<Relationship Id="rId15" Type="http://schemas.openxmlformats.org/officeDocument/2006/relationships/hyperlink" Target="https://login.consultant.ru/link/?req=doc&amp;base=LAW&amp;n=510626&amp;date=05.08.2025&amp;dst=251&amp;field=134" TargetMode = "External"/>
	<Relationship Id="rId16" Type="http://schemas.openxmlformats.org/officeDocument/2006/relationships/hyperlink" Target="https://login.consultant.ru/link/?req=doc&amp;base=LAW&amp;n=509066&amp;date=05.08.2025" TargetMode = "External"/>
	<Relationship Id="rId17" Type="http://schemas.openxmlformats.org/officeDocument/2006/relationships/hyperlink" Target="https://login.consultant.ru/link/?req=doc&amp;base=LAW&amp;n=510626&amp;date=05.08.2025&amp;dst=242&amp;field=134" TargetMode = "External"/>
	<Relationship Id="rId18" Type="http://schemas.openxmlformats.org/officeDocument/2006/relationships/hyperlink" Target="https://login.consultant.ru/link/?req=doc&amp;base=EXP&amp;n=763941&amp;date=05.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14.04.2025 N 201н
"Об утверждении Порядка прохождения диспансеризации федеральными государственными гражданскими служащими, государственными гражданскими служащими субъектов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медицинской организации"
(Зарегистрировано в Минюсте России 20.05.2025 N 82259)</dc:title>
  <dcterms:created xsi:type="dcterms:W3CDTF">2025-08-05T14:11:52Z</dcterms:created>
</cp:coreProperties>
</file>