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59" w:rsidRPr="004577B9" w:rsidRDefault="002D1A59" w:rsidP="00187AC9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8B003C" w:rsidRPr="003574F0" w:rsidRDefault="008B003C" w:rsidP="002D1A59">
      <w:pPr>
        <w:spacing w:line="360" w:lineRule="auto"/>
        <w:ind w:hanging="14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align>top</wp:align>
            </wp:positionV>
            <wp:extent cx="762000" cy="876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A59">
        <w:rPr>
          <w:sz w:val="20"/>
          <w:szCs w:val="20"/>
        </w:rPr>
        <w:br w:type="textWrapping" w:clear="all"/>
      </w:r>
    </w:p>
    <w:p w:rsidR="008B003C" w:rsidRPr="003574F0" w:rsidRDefault="008B003C" w:rsidP="008B003C">
      <w:pPr>
        <w:widowControl w:val="0"/>
        <w:jc w:val="center"/>
        <w:rPr>
          <w:spacing w:val="20"/>
          <w:kern w:val="28"/>
          <w:sz w:val="28"/>
          <w:szCs w:val="20"/>
        </w:rPr>
      </w:pPr>
      <w:r w:rsidRPr="003574F0">
        <w:rPr>
          <w:spacing w:val="20"/>
          <w:kern w:val="28"/>
          <w:sz w:val="28"/>
          <w:szCs w:val="20"/>
        </w:rPr>
        <w:t>АДМИНИСТРАЦИЯ   МУНИЦИПАЛЬНОГО ОБРАЗОВАНИЯ</w:t>
      </w:r>
    </w:p>
    <w:p w:rsidR="008B003C" w:rsidRPr="003574F0" w:rsidRDefault="008B003C" w:rsidP="008B003C">
      <w:pPr>
        <w:widowControl w:val="0"/>
        <w:jc w:val="center"/>
        <w:rPr>
          <w:spacing w:val="20"/>
          <w:kern w:val="28"/>
          <w:sz w:val="28"/>
          <w:szCs w:val="20"/>
        </w:rPr>
      </w:pPr>
      <w:r w:rsidRPr="003574F0">
        <w:rPr>
          <w:spacing w:val="20"/>
          <w:kern w:val="28"/>
          <w:sz w:val="28"/>
          <w:szCs w:val="20"/>
        </w:rPr>
        <w:t>«</w:t>
      </w:r>
      <w:proofErr w:type="gramStart"/>
      <w:r w:rsidRPr="003574F0">
        <w:rPr>
          <w:spacing w:val="20"/>
          <w:kern w:val="28"/>
          <w:sz w:val="28"/>
          <w:szCs w:val="20"/>
        </w:rPr>
        <w:t>ЕЛЬНИНСКИЙ  РАЙОН</w:t>
      </w:r>
      <w:proofErr w:type="gramEnd"/>
      <w:r w:rsidRPr="003574F0">
        <w:rPr>
          <w:spacing w:val="20"/>
          <w:kern w:val="28"/>
          <w:sz w:val="28"/>
          <w:szCs w:val="20"/>
        </w:rPr>
        <w:t>» СМОЛЕНСКОЙ ОБЛАСТИ</w:t>
      </w:r>
    </w:p>
    <w:p w:rsidR="008B003C" w:rsidRPr="003574F0" w:rsidRDefault="008B003C" w:rsidP="008B003C">
      <w:pPr>
        <w:widowControl w:val="0"/>
        <w:rPr>
          <w:kern w:val="28"/>
          <w:sz w:val="32"/>
          <w:szCs w:val="32"/>
        </w:rPr>
      </w:pPr>
    </w:p>
    <w:p w:rsidR="008B003C" w:rsidRPr="003574F0" w:rsidRDefault="008B003C" w:rsidP="008B003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574F0">
        <w:rPr>
          <w:b/>
          <w:sz w:val="28"/>
          <w:szCs w:val="28"/>
        </w:rPr>
        <w:t xml:space="preserve">П О С Т А Н О В Л Е Н И Е </w:t>
      </w:r>
    </w:p>
    <w:p w:rsidR="008B003C" w:rsidRPr="003574F0" w:rsidRDefault="008B003C" w:rsidP="008B003C">
      <w:pPr>
        <w:widowControl w:val="0"/>
        <w:rPr>
          <w:sz w:val="20"/>
          <w:szCs w:val="20"/>
        </w:rPr>
      </w:pPr>
    </w:p>
    <w:p w:rsidR="008B003C" w:rsidRPr="003574F0" w:rsidRDefault="00CA7C2D" w:rsidP="008B003C">
      <w:pPr>
        <w:widowControl w:val="0"/>
        <w:ind w:right="1255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61671A">
        <w:rPr>
          <w:sz w:val="28"/>
          <w:szCs w:val="20"/>
        </w:rPr>
        <w:t>19.12.</w:t>
      </w:r>
      <w:r w:rsidR="008B003C">
        <w:rPr>
          <w:sz w:val="28"/>
          <w:szCs w:val="20"/>
        </w:rPr>
        <w:t>2022</w:t>
      </w:r>
      <w:r>
        <w:rPr>
          <w:sz w:val="28"/>
          <w:szCs w:val="20"/>
        </w:rPr>
        <w:t xml:space="preserve"> </w:t>
      </w:r>
      <w:r w:rsidR="008B003C" w:rsidRPr="003574F0">
        <w:rPr>
          <w:sz w:val="28"/>
          <w:szCs w:val="20"/>
        </w:rPr>
        <w:t xml:space="preserve">№ </w:t>
      </w:r>
      <w:r w:rsidR="0061671A">
        <w:rPr>
          <w:sz w:val="28"/>
          <w:szCs w:val="20"/>
        </w:rPr>
        <w:t>888</w:t>
      </w:r>
    </w:p>
    <w:p w:rsidR="008B003C" w:rsidRPr="003574F0" w:rsidRDefault="008B003C" w:rsidP="008B003C">
      <w:pPr>
        <w:widowControl w:val="0"/>
        <w:tabs>
          <w:tab w:val="left" w:pos="4536"/>
        </w:tabs>
        <w:ind w:right="1255"/>
        <w:rPr>
          <w:sz w:val="28"/>
          <w:szCs w:val="20"/>
        </w:rPr>
      </w:pPr>
      <w:r w:rsidRPr="003574F0">
        <w:rPr>
          <w:sz w:val="18"/>
          <w:szCs w:val="18"/>
        </w:rPr>
        <w:t>г. Ельня</w:t>
      </w:r>
    </w:p>
    <w:p w:rsidR="008B003C" w:rsidRPr="003574F0" w:rsidRDefault="008B003C" w:rsidP="008B003C">
      <w:pPr>
        <w:widowControl w:val="0"/>
        <w:ind w:right="-55"/>
        <w:jc w:val="both"/>
        <w:rPr>
          <w:sz w:val="28"/>
          <w:szCs w:val="20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  <w:r w:rsidRPr="006722A2">
        <w:rPr>
          <w:sz w:val="28"/>
          <w:szCs w:val="28"/>
        </w:rPr>
        <w:t>О</w:t>
      </w:r>
      <w:r w:rsidR="0061495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в границах муниципального образования «Ельнинский район» Смоленской области на 2023 год</w:t>
      </w: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firstLine="709"/>
        <w:jc w:val="both"/>
        <w:rPr>
          <w:sz w:val="28"/>
          <w:szCs w:val="28"/>
        </w:rPr>
      </w:pPr>
      <w:r w:rsidRPr="00F02ADE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F02ADE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 xml:space="preserve">года </w:t>
      </w:r>
      <w:r w:rsidRPr="00F02ADE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F02A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F02ADE">
        <w:rPr>
          <w:color w:val="000000" w:themeColor="text1"/>
          <w:sz w:val="28"/>
          <w:szCs w:val="28"/>
        </w:rPr>
        <w:t xml:space="preserve"> </w:t>
      </w:r>
      <w:r w:rsidRPr="00F02ADE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F02ADE"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>, по результатам общественных обсуждений А</w:t>
      </w:r>
      <w:r w:rsidRPr="00F02ADE">
        <w:rPr>
          <w:color w:val="000000" w:themeColor="text1"/>
          <w:sz w:val="28"/>
          <w:szCs w:val="28"/>
        </w:rPr>
        <w:t>дминистрация</w:t>
      </w:r>
      <w:r>
        <w:rPr>
          <w:color w:val="000000" w:themeColor="text1"/>
          <w:sz w:val="28"/>
          <w:szCs w:val="28"/>
        </w:rPr>
        <w:t xml:space="preserve"> муниципального образования «Ельнинский район» Смоленской области</w:t>
      </w:r>
    </w:p>
    <w:p w:rsidR="008B003C" w:rsidRPr="003574F0" w:rsidRDefault="008B003C" w:rsidP="008B003C">
      <w:pPr>
        <w:ind w:firstLine="709"/>
        <w:jc w:val="both"/>
        <w:rPr>
          <w:sz w:val="28"/>
          <w:szCs w:val="28"/>
        </w:rPr>
      </w:pPr>
      <w:r w:rsidRPr="003574F0">
        <w:rPr>
          <w:sz w:val="28"/>
          <w:szCs w:val="28"/>
        </w:rPr>
        <w:t xml:space="preserve">п о с </w:t>
      </w:r>
      <w:proofErr w:type="gramStart"/>
      <w:r w:rsidRPr="003574F0">
        <w:rPr>
          <w:sz w:val="28"/>
          <w:szCs w:val="28"/>
        </w:rPr>
        <w:t>т</w:t>
      </w:r>
      <w:proofErr w:type="gramEnd"/>
      <w:r w:rsidRPr="003574F0">
        <w:rPr>
          <w:sz w:val="28"/>
          <w:szCs w:val="28"/>
        </w:rPr>
        <w:t xml:space="preserve"> а н о в л я е т:</w:t>
      </w:r>
    </w:p>
    <w:p w:rsidR="008B003C" w:rsidRPr="003574F0" w:rsidRDefault="008B003C" w:rsidP="008B003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003C" w:rsidRDefault="008B003C" w:rsidP="008B003C">
      <w:pPr>
        <w:widowControl w:val="0"/>
        <w:ind w:right="-55"/>
        <w:jc w:val="both"/>
        <w:rPr>
          <w:sz w:val="28"/>
          <w:szCs w:val="28"/>
        </w:rPr>
      </w:pPr>
      <w:r>
        <w:rPr>
          <w:sz w:val="28"/>
          <w:szCs w:val="20"/>
        </w:rPr>
        <w:tab/>
      </w:r>
      <w:r w:rsidRPr="003574F0">
        <w:rPr>
          <w:sz w:val="28"/>
          <w:szCs w:val="28"/>
        </w:rPr>
        <w:t xml:space="preserve">1. </w:t>
      </w:r>
      <w:r w:rsidRPr="00F02ADE">
        <w:rPr>
          <w:color w:val="000000" w:themeColor="text1"/>
          <w:sz w:val="28"/>
          <w:szCs w:val="28"/>
        </w:rPr>
        <w:t>Утвердить П</w:t>
      </w:r>
      <w:r w:rsidRPr="00F02ADE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F02ADE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F02ADE">
        <w:rPr>
          <w:color w:val="000000" w:themeColor="text1"/>
          <w:spacing w:val="-6"/>
          <w:sz w:val="28"/>
          <w:szCs w:val="28"/>
        </w:rPr>
        <w:t xml:space="preserve"> в границах</w:t>
      </w:r>
      <w:r w:rsidRPr="00F02A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 «Ельнинский район» Смоленской области на 2023</w:t>
      </w:r>
      <w:r w:rsidRPr="00F02ADE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8B003C" w:rsidRDefault="008B003C" w:rsidP="008B003C">
      <w:pPr>
        <w:ind w:firstLine="709"/>
        <w:jc w:val="both"/>
        <w:rPr>
          <w:sz w:val="28"/>
          <w:szCs w:val="28"/>
        </w:rPr>
      </w:pPr>
      <w:r w:rsidRPr="003574F0"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Настоящее п</w:t>
      </w:r>
      <w:r w:rsidRPr="00F02ADE">
        <w:rPr>
          <w:color w:val="000000" w:themeColor="text1"/>
          <w:sz w:val="28"/>
          <w:szCs w:val="28"/>
        </w:rPr>
        <w:t>остановление вступает в силу со дня его официального опубликования.</w:t>
      </w:r>
    </w:p>
    <w:p w:rsidR="008B003C" w:rsidRPr="003574F0" w:rsidRDefault="008B003C" w:rsidP="008B003C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005121"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AD284A">
        <w:rPr>
          <w:color w:val="000000" w:themeColor="text1"/>
          <w:sz w:val="28"/>
          <w:szCs w:val="28"/>
        </w:rPr>
        <w:t>С</w:t>
      </w:r>
      <w:r w:rsidR="00D16F37">
        <w:rPr>
          <w:color w:val="000000" w:themeColor="text1"/>
          <w:sz w:val="28"/>
          <w:szCs w:val="28"/>
        </w:rPr>
        <w:t>ектору информационной работы</w:t>
      </w:r>
      <w:r w:rsidR="00AD284A" w:rsidRPr="00AD284A">
        <w:rPr>
          <w:color w:val="000000" w:themeColor="text1"/>
          <w:sz w:val="28"/>
          <w:szCs w:val="28"/>
        </w:rPr>
        <w:t xml:space="preserve"> </w:t>
      </w:r>
      <w:r w:rsidR="00AD284A">
        <w:rPr>
          <w:color w:val="000000" w:themeColor="text1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D16F37">
        <w:rPr>
          <w:color w:val="000000" w:themeColor="text1"/>
          <w:sz w:val="28"/>
          <w:szCs w:val="28"/>
        </w:rPr>
        <w:t xml:space="preserve"> </w:t>
      </w:r>
      <w:r w:rsidR="00AD284A">
        <w:rPr>
          <w:color w:val="000000" w:themeColor="text1"/>
          <w:sz w:val="28"/>
          <w:szCs w:val="28"/>
        </w:rPr>
        <w:t xml:space="preserve">обеспечить </w:t>
      </w:r>
      <w:r>
        <w:rPr>
          <w:color w:val="000000" w:themeColor="text1"/>
          <w:sz w:val="28"/>
          <w:szCs w:val="28"/>
        </w:rPr>
        <w:lastRenderedPageBreak/>
        <w:t>размещение настоящего постановления на официальном сайте Администрации муниципального образования «Ельнинский район» Смоленской области в информационно-телекоммуникационной сети «Интернет».</w:t>
      </w: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74F0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«Ельнинский район» Смоленской области С.В. </w:t>
      </w:r>
      <w:proofErr w:type="spellStart"/>
      <w:r w:rsidRPr="003574F0">
        <w:rPr>
          <w:sz w:val="28"/>
          <w:szCs w:val="28"/>
        </w:rPr>
        <w:t>Кизунову</w:t>
      </w:r>
      <w:proofErr w:type="spellEnd"/>
      <w:r w:rsidRPr="003574F0">
        <w:rPr>
          <w:sz w:val="28"/>
          <w:szCs w:val="28"/>
        </w:rPr>
        <w:t>.</w:t>
      </w: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Pr="003574F0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Pr="003574F0" w:rsidRDefault="008B003C" w:rsidP="008B003C">
      <w:pPr>
        <w:widowControl w:val="0"/>
        <w:ind w:right="-55"/>
        <w:jc w:val="both"/>
        <w:rPr>
          <w:sz w:val="28"/>
          <w:szCs w:val="28"/>
        </w:rPr>
      </w:pPr>
      <w:r w:rsidRPr="003574F0">
        <w:rPr>
          <w:sz w:val="28"/>
          <w:szCs w:val="28"/>
        </w:rPr>
        <w:t xml:space="preserve">Глава муниципального образования </w:t>
      </w:r>
    </w:p>
    <w:p w:rsidR="008B003C" w:rsidRDefault="008B003C" w:rsidP="008B003C">
      <w:pPr>
        <w:widowControl w:val="0"/>
        <w:ind w:right="-55"/>
        <w:jc w:val="both"/>
        <w:rPr>
          <w:sz w:val="28"/>
          <w:szCs w:val="28"/>
        </w:rPr>
      </w:pPr>
      <w:r w:rsidRPr="003574F0">
        <w:rPr>
          <w:sz w:val="28"/>
          <w:szCs w:val="28"/>
        </w:rPr>
        <w:t>«Ельнинский рай</w:t>
      </w:r>
      <w:r w:rsidR="00D54F58">
        <w:rPr>
          <w:sz w:val="28"/>
          <w:szCs w:val="28"/>
        </w:rPr>
        <w:t xml:space="preserve">он» Смоленской области </w:t>
      </w:r>
      <w:r w:rsidR="00D54F58">
        <w:rPr>
          <w:sz w:val="28"/>
          <w:szCs w:val="28"/>
        </w:rPr>
        <w:tab/>
      </w:r>
      <w:r w:rsidR="00D54F58">
        <w:rPr>
          <w:sz w:val="28"/>
          <w:szCs w:val="28"/>
        </w:rPr>
        <w:tab/>
      </w:r>
      <w:r w:rsidR="00D54F58">
        <w:rPr>
          <w:sz w:val="28"/>
          <w:szCs w:val="28"/>
        </w:rPr>
        <w:tab/>
      </w:r>
      <w:r w:rsidRPr="003574F0">
        <w:rPr>
          <w:sz w:val="28"/>
          <w:szCs w:val="28"/>
        </w:rPr>
        <w:t>Н.Д. Мищенков</w:t>
      </w:r>
    </w:p>
    <w:p w:rsidR="008B003C" w:rsidRDefault="008B003C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577B9" w:rsidRDefault="004577B9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Pr="000D11B9" w:rsidRDefault="004972D8" w:rsidP="00A41073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0D11B9"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                             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Приложение</w:t>
      </w:r>
    </w:p>
    <w:p w:rsidR="004972D8" w:rsidRPr="000D11B9" w:rsidRDefault="004972D8" w:rsidP="00A41073">
      <w:pPr>
        <w:widowControl w:val="0"/>
        <w:suppressAutoHyphens/>
        <w:spacing w:line="276" w:lineRule="auto"/>
        <w:ind w:left="5103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к постановлению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Администрации</w:t>
      </w:r>
    </w:p>
    <w:p w:rsidR="004972D8" w:rsidRPr="000D11B9" w:rsidRDefault="004972D8" w:rsidP="00A41073">
      <w:pPr>
        <w:widowControl w:val="0"/>
        <w:suppressAutoHyphens/>
        <w:spacing w:line="276" w:lineRule="auto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             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муниципального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eastAsia="Lucida Sans Unicode"/>
          <w:kern w:val="1"/>
          <w:sz w:val="28"/>
          <w:szCs w:val="28"/>
          <w:lang w:eastAsia="ar-SA"/>
        </w:rPr>
        <w:t>образования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«</w:t>
      </w:r>
      <w:proofErr w:type="gramEnd"/>
      <w:r w:rsidRPr="000D11B9">
        <w:rPr>
          <w:rFonts w:eastAsia="Lucida Sans Unicode"/>
          <w:kern w:val="1"/>
          <w:sz w:val="28"/>
          <w:szCs w:val="28"/>
          <w:lang w:eastAsia="ar-SA"/>
        </w:rPr>
        <w:t>Ельнинский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район» Смоленской области</w:t>
      </w:r>
    </w:p>
    <w:p w:rsidR="004972D8" w:rsidRPr="000D11B9" w:rsidRDefault="0061671A" w:rsidP="004972D8">
      <w:pPr>
        <w:widowControl w:val="0"/>
        <w:suppressAutoHyphens/>
        <w:spacing w:line="360" w:lineRule="exact"/>
        <w:ind w:left="5103"/>
        <w:jc w:val="center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«19</w:t>
      </w:r>
      <w:r w:rsidR="004972D8" w:rsidRPr="000D11B9">
        <w:rPr>
          <w:rFonts w:eastAsia="Lucida Sans Unicode"/>
          <w:kern w:val="1"/>
          <w:sz w:val="28"/>
          <w:szCs w:val="28"/>
          <w:lang w:eastAsia="ar-SA"/>
        </w:rPr>
        <w:t>»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декабря</w:t>
      </w:r>
      <w:r w:rsidR="004972D8" w:rsidRPr="000D11B9">
        <w:rPr>
          <w:rFonts w:eastAsia="Lucida Sans Unicode"/>
          <w:kern w:val="1"/>
          <w:sz w:val="28"/>
          <w:szCs w:val="28"/>
          <w:lang w:eastAsia="ar-SA"/>
        </w:rPr>
        <w:t xml:space="preserve"> 2022 № </w:t>
      </w:r>
      <w:r>
        <w:rPr>
          <w:rFonts w:eastAsia="Lucida Sans Unicode"/>
          <w:kern w:val="1"/>
          <w:sz w:val="28"/>
          <w:szCs w:val="28"/>
          <w:lang w:eastAsia="ar-SA"/>
        </w:rPr>
        <w:t>888</w:t>
      </w:r>
    </w:p>
    <w:p w:rsidR="004972D8" w:rsidRDefault="004972D8" w:rsidP="004972D8">
      <w:pPr>
        <w:jc w:val="right"/>
        <w:rPr>
          <w:b/>
          <w:sz w:val="28"/>
          <w:szCs w:val="28"/>
        </w:rPr>
      </w:pPr>
    </w:p>
    <w:p w:rsidR="004972D8" w:rsidRPr="000D11B9" w:rsidRDefault="004972D8" w:rsidP="004972D8">
      <w:pPr>
        <w:jc w:val="right"/>
        <w:rPr>
          <w:b/>
          <w:sz w:val="28"/>
          <w:szCs w:val="28"/>
        </w:rPr>
      </w:pPr>
    </w:p>
    <w:p w:rsidR="004972D8" w:rsidRPr="000D11B9" w:rsidRDefault="004972D8" w:rsidP="004972D8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color w:val="000000"/>
          <w:sz w:val="28"/>
          <w:szCs w:val="28"/>
        </w:rPr>
      </w:pPr>
      <w:r w:rsidRPr="000D11B9">
        <w:rPr>
          <w:rFonts w:eastAsia="Calibri"/>
          <w:color w:val="000000"/>
          <w:sz w:val="28"/>
          <w:szCs w:val="28"/>
        </w:rPr>
        <w:t>ПРОГРАММА</w:t>
      </w:r>
    </w:p>
    <w:p w:rsidR="004972D8" w:rsidRPr="000D11B9" w:rsidRDefault="004972D8" w:rsidP="004972D8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4972D8" w:rsidRPr="000D11B9" w:rsidRDefault="004972D8" w:rsidP="004972D8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при осуществлении на территории муниципального образования</w:t>
      </w:r>
    </w:p>
    <w:p w:rsidR="004972D8" w:rsidRPr="000D11B9" w:rsidRDefault="004972D8" w:rsidP="004972D8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«Ельнинский район» Смоленской области</w:t>
      </w:r>
    </w:p>
    <w:p w:rsidR="004972D8" w:rsidRPr="000D11B9" w:rsidRDefault="004972D8" w:rsidP="004972D8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муниципального земельного контроля на 2023 год</w:t>
      </w:r>
    </w:p>
    <w:p w:rsidR="004972D8" w:rsidRPr="000D11B9" w:rsidRDefault="004972D8" w:rsidP="004972D8">
      <w:pPr>
        <w:jc w:val="both"/>
        <w:rPr>
          <w:b/>
          <w:sz w:val="28"/>
          <w:szCs w:val="28"/>
        </w:rPr>
      </w:pPr>
    </w:p>
    <w:p w:rsidR="004972D8" w:rsidRPr="000D11B9" w:rsidRDefault="004972D8" w:rsidP="004972D8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4972D8" w:rsidRPr="000D11B9" w:rsidRDefault="004972D8" w:rsidP="004972D8">
      <w:pPr>
        <w:jc w:val="both"/>
        <w:rPr>
          <w:sz w:val="28"/>
          <w:szCs w:val="28"/>
        </w:rPr>
      </w:pP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«Ельнинский район» Смоленской области (далее – муниципальный земельный контроль).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В соответствии с Федеральным законом от 06 октября 2003 г. № 131- ФЗ «Об общих принципах организации местного самоуправления в Российской Федерации», Уставом муниципального образования «Ельнинский район» Смоленской области, Положением о муниципальном земельном контроле на территории муниципального образования «Ельнинский район» Смоленской области, утвержденного решением Ельнинского районного Совета депутатов от 23.12.2021г. № 71</w:t>
      </w:r>
      <w:r w:rsidR="00A41073">
        <w:rPr>
          <w:sz w:val="28"/>
          <w:szCs w:val="28"/>
        </w:rPr>
        <w:t xml:space="preserve"> (в ред. от 28.04.2022 №10)</w:t>
      </w:r>
      <w:r w:rsidRPr="000D11B9">
        <w:rPr>
          <w:sz w:val="28"/>
          <w:szCs w:val="28"/>
        </w:rPr>
        <w:t xml:space="preserve">, Администрация муниципального образования «Ельнинский район» Смоленской области (далее - Администрация) является уполномоченным органом по осуществлению муниципального земельного контроля. Непосредственное осуществление муниципального земельного </w:t>
      </w:r>
      <w:r w:rsidRPr="000D11B9">
        <w:rPr>
          <w:sz w:val="28"/>
          <w:szCs w:val="28"/>
        </w:rPr>
        <w:lastRenderedPageBreak/>
        <w:t>контроля возлагается на 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 (далее – Отдел).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При осуществлении муниципального земельного контроля Отдел осуществляет контроль за соблюдением: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 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муниципального образования «Ельнинский район» Смоленской области, а так же обладающие правом владения, пользования, распоряжения землями, земельными участками, частью земельного участка на территории муниципального образования «Ельнинский район» Смоленской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 </w:t>
      </w:r>
    </w:p>
    <w:p w:rsidR="004972D8" w:rsidRPr="000D11B9" w:rsidRDefault="0000664A" w:rsidP="00497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</w:t>
      </w:r>
      <w:r w:rsidR="004972D8" w:rsidRPr="000D11B9">
        <w:rPr>
          <w:sz w:val="28"/>
          <w:szCs w:val="28"/>
        </w:rPr>
        <w:t xml:space="preserve"> Правительства Российской Федерации от 10.03</w:t>
      </w:r>
      <w:r w:rsidR="00AE03AF">
        <w:rPr>
          <w:sz w:val="28"/>
          <w:szCs w:val="28"/>
        </w:rPr>
        <w:t>.</w:t>
      </w:r>
      <w:r w:rsidR="004972D8" w:rsidRPr="000D11B9">
        <w:rPr>
          <w:sz w:val="28"/>
          <w:szCs w:val="28"/>
        </w:rPr>
        <w:t>2022 г. № 336 «Об особенностях организации и осуществления госу</w:t>
      </w:r>
      <w:r w:rsidR="001E4D83">
        <w:rPr>
          <w:sz w:val="28"/>
          <w:szCs w:val="28"/>
        </w:rPr>
        <w:t>дарственного контроля (надзора)</w:t>
      </w:r>
      <w:r w:rsidR="004972D8" w:rsidRPr="000D11B9">
        <w:rPr>
          <w:sz w:val="28"/>
          <w:szCs w:val="28"/>
        </w:rPr>
        <w:t xml:space="preserve"> муниципального контроля</w:t>
      </w:r>
      <w:r w:rsidR="00AE03AF">
        <w:rPr>
          <w:sz w:val="28"/>
          <w:szCs w:val="28"/>
        </w:rPr>
        <w:t>»</w:t>
      </w:r>
      <w:r w:rsidR="004972D8" w:rsidRPr="000D11B9">
        <w:rPr>
          <w:sz w:val="28"/>
          <w:szCs w:val="28"/>
        </w:rPr>
        <w:t xml:space="preserve"> в 2022 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В рамках развития и осуществления профилактической деятельности на территории муниципального образования «Ельнинский район» Смоленской области в 2022 году: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lastRenderedPageBreak/>
        <w:t xml:space="preserve">поддерживались в актуальном состоянии и размещались на официальном сайте Администрации муниципального образования «Ельнинский район» Смоленской области (далее - официальный сайт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Администрации;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осуществлялось консультирование по вопросам соблюдения обязательных требований, требований, установленных муниципальными правовыми актами;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проводились </w:t>
      </w:r>
      <w:r w:rsidR="002367F4">
        <w:rPr>
          <w:sz w:val="28"/>
          <w:szCs w:val="28"/>
        </w:rPr>
        <w:t>обследования земельных участков;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проводились профилактические визиты в форме профилактической беседы по месту осуществления деятельности контролируемого лица в количе</w:t>
      </w:r>
      <w:r w:rsidR="00263A23">
        <w:rPr>
          <w:sz w:val="28"/>
          <w:szCs w:val="28"/>
        </w:rPr>
        <w:t>стве 8 профилактических визитов;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проводилось информирование в </w:t>
      </w:r>
      <w:r>
        <w:rPr>
          <w:sz w:val="28"/>
          <w:szCs w:val="28"/>
        </w:rPr>
        <w:t>средствах массовой информации: г</w:t>
      </w:r>
      <w:r w:rsidRPr="000D11B9">
        <w:rPr>
          <w:sz w:val="28"/>
          <w:szCs w:val="28"/>
        </w:rPr>
        <w:t>азета «Знамя»</w:t>
      </w:r>
      <w:r>
        <w:rPr>
          <w:sz w:val="28"/>
          <w:szCs w:val="28"/>
        </w:rPr>
        <w:t xml:space="preserve"> </w:t>
      </w:r>
      <w:r w:rsidRPr="000D11B9">
        <w:rPr>
          <w:sz w:val="28"/>
          <w:szCs w:val="28"/>
        </w:rPr>
        <w:t xml:space="preserve">от 22.04.2022 г.№17.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По результатам осуществления муниципального земельного контроля в 2022 году, наиболее значимыми проблемами являются: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отсутствия денежных средств на строительство на земельных участках, предназначенных для жилищного или иного строительства;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Раздел II. Цели и задачи реализации программы профилактики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Основными целями программы профилактики являются: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lastRenderedPageBreak/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</w:p>
    <w:p w:rsidR="004972D8" w:rsidRPr="000D11B9" w:rsidRDefault="004972D8" w:rsidP="004972D8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Раздел III. Перечень профилактических мероприятий, сроки</w:t>
      </w:r>
    </w:p>
    <w:p w:rsidR="004972D8" w:rsidRDefault="004972D8" w:rsidP="004972D8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(периодичность) их проведения на 2023 год</w:t>
      </w:r>
    </w:p>
    <w:p w:rsidR="004972D8" w:rsidRPr="000D11B9" w:rsidRDefault="004972D8" w:rsidP="004972D8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5"/>
        <w:gridCol w:w="3013"/>
        <w:gridCol w:w="3127"/>
        <w:gridCol w:w="2570"/>
      </w:tblGrid>
      <w:tr w:rsidR="004972D8" w:rsidRPr="00CB3131" w:rsidTr="00A27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bCs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bCs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bCs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bCs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bCs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bCs/>
                <w:color w:val="000000"/>
                <w:sz w:val="28"/>
                <w:szCs w:val="28"/>
                <w:lang w:bidi="ru-RU"/>
              </w:rPr>
              <w:t>Структурное подразделение, ответственное за реализацию</w:t>
            </w:r>
          </w:p>
        </w:tc>
      </w:tr>
      <w:tr w:rsidR="004972D8" w:rsidRPr="00CB3131" w:rsidTr="00A27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 xml:space="preserve"> отдел экономического развития, прогнозирования, имущественных и земельных отношений</w:t>
            </w:r>
          </w:p>
        </w:tc>
      </w:tr>
      <w:tr w:rsidR="004972D8" w:rsidRPr="00CB3131" w:rsidTr="00A27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в срок до 1 июля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 xml:space="preserve"> отдел экономического развития, прогнозирования, имущественных и земельных отношений</w:t>
            </w:r>
          </w:p>
        </w:tc>
      </w:tr>
      <w:tr w:rsidR="004972D8" w:rsidRPr="00CB3131" w:rsidTr="00A2775E">
        <w:trPr>
          <w:trHeight w:val="2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 xml:space="preserve"> отдел экономического развития, прогнозирования, имущественных и земельных отношений</w:t>
            </w:r>
          </w:p>
        </w:tc>
      </w:tr>
      <w:tr w:rsidR="004972D8" w:rsidRPr="00CB3131" w:rsidTr="00A2775E">
        <w:trPr>
          <w:trHeight w:val="7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spacing w:after="105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 xml:space="preserve"> отдел экономического развития, прогнозирования, имущественных и земельных отношений  </w:t>
            </w:r>
          </w:p>
        </w:tc>
      </w:tr>
      <w:tr w:rsidR="004972D8" w:rsidRPr="00CB3131" w:rsidTr="00A277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>По мере необходимости, но не менее 4 профилактических визитов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72D8" w:rsidRPr="000D11B9" w:rsidRDefault="004972D8" w:rsidP="00A2775E">
            <w:pPr>
              <w:widowControl w:val="0"/>
              <w:jc w:val="both"/>
              <w:rPr>
                <w:rFonts w:eastAsia="Microsoft Sans Serif"/>
                <w:color w:val="000000"/>
                <w:szCs w:val="28"/>
                <w:lang w:bidi="ru-RU"/>
              </w:rPr>
            </w:pPr>
            <w:r w:rsidRPr="000D11B9">
              <w:rPr>
                <w:sz w:val="28"/>
                <w:szCs w:val="28"/>
              </w:rPr>
              <w:t xml:space="preserve"> отдел экономического развития, прогнозирования, имущественных и земельных отношений</w:t>
            </w:r>
          </w:p>
        </w:tc>
      </w:tr>
    </w:tbl>
    <w:p w:rsidR="004972D8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контролируемых лиц осуществляется по вопросам, связанным с организацией и осуществлением муниципального контроля: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порядка проведения контрольных мероприятий;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периодичности проведения контрольных мероприятий;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порядка принятия решений </w:t>
      </w:r>
      <w:proofErr w:type="gramStart"/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итогом</w:t>
      </w:r>
      <w:proofErr w:type="gramEnd"/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контрольных мероприятий;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порядка обжалования решений должностных лиц, уполномоченных осуществлять муниципальный земельный контроль.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осуществляется должностным лицом, уполномоченным осуществлять муниципальный земельный контроль: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 виде устных разъяснений по телефону, на личном приеме, посредством видео-конференц-связи, либо в ходе проведения профилактического мероприятия;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лиц, подписанного уполномоченного должностным лицом.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Консультирование в письменной форме осуществляется должностным лицом, уполномоченным осуществлять муниципальный земельный контроль по следующим вопросам: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организация и осуществление муниципального земельного контроля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б) порядок осуществления </w:t>
      </w:r>
      <w:proofErr w:type="spellStart"/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контрольно</w:t>
      </w:r>
      <w:proofErr w:type="spellEnd"/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(надзорных) мероприятий, установленных Положением о муниципальном земельном контроле на территории муниципального образования «Ельнинский район» Смоленской области.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объектам. 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4972D8" w:rsidRPr="000D11B9" w:rsidRDefault="004972D8" w:rsidP="004972D8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</w:t>
      </w:r>
      <w:proofErr w:type="gramStart"/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органа  незамедлительно</w:t>
      </w:r>
      <w:proofErr w:type="gramEnd"/>
      <w:r w:rsidRPr="000D11B9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направляет информацию об этом руководителю контрольного органа для принятия решения о приведении контрольных (надзорных) мероприятий. </w:t>
      </w:r>
    </w:p>
    <w:p w:rsidR="004972D8" w:rsidRPr="000D11B9" w:rsidRDefault="004972D8" w:rsidP="004972D8">
      <w:pPr>
        <w:jc w:val="both"/>
        <w:rPr>
          <w:sz w:val="28"/>
          <w:szCs w:val="28"/>
        </w:rPr>
      </w:pPr>
    </w:p>
    <w:p w:rsidR="004972D8" w:rsidRPr="000D11B9" w:rsidRDefault="004972D8" w:rsidP="004972D8">
      <w:pPr>
        <w:jc w:val="center"/>
        <w:rPr>
          <w:sz w:val="28"/>
          <w:szCs w:val="28"/>
        </w:rPr>
      </w:pPr>
      <w:r w:rsidRPr="000D11B9">
        <w:rPr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 (ущерба) охраняемым законом ценностям.</w:t>
      </w:r>
    </w:p>
    <w:p w:rsidR="004972D8" w:rsidRPr="000D11B9" w:rsidRDefault="004972D8" w:rsidP="004972D8">
      <w:pPr>
        <w:jc w:val="both"/>
        <w:rPr>
          <w:sz w:val="28"/>
          <w:szCs w:val="28"/>
        </w:rPr>
      </w:pP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1) количество проведенных профилактических мероприятий;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2) соблюдение контролируемыми лицами обязательных требований;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3) наличие на официальном сайте муниципального образования «Ельнинский район» Смоленской области актуальной информации для контролируемых лиц и иных заинтересованных лиц по вопросам соблюдения обязательных требований.</w:t>
      </w:r>
    </w:p>
    <w:p w:rsidR="004972D8" w:rsidRPr="000D11B9" w:rsidRDefault="004972D8" w:rsidP="004972D8">
      <w:pPr>
        <w:ind w:firstLine="708"/>
        <w:jc w:val="both"/>
        <w:rPr>
          <w:sz w:val="28"/>
          <w:szCs w:val="28"/>
        </w:rPr>
      </w:pPr>
      <w:r w:rsidRPr="000D11B9">
        <w:rPr>
          <w:sz w:val="28"/>
          <w:szCs w:val="28"/>
        </w:rPr>
        <w:t>Результаты оценки эффективности и результативности профилактических мероприятий отражаются в ежегодном докладе о муниципальном земельном контроле на территории муниципального образования «Ельнинский район» Смоленской области.</w:t>
      </w:r>
    </w:p>
    <w:p w:rsidR="004972D8" w:rsidRPr="000D11B9" w:rsidRDefault="004972D8" w:rsidP="004972D8">
      <w:pPr>
        <w:jc w:val="both"/>
        <w:rPr>
          <w:b/>
          <w:sz w:val="28"/>
          <w:szCs w:val="28"/>
        </w:rPr>
      </w:pPr>
    </w:p>
    <w:p w:rsidR="004972D8" w:rsidRPr="008B003C" w:rsidRDefault="004972D8" w:rsidP="008B003C">
      <w:pPr>
        <w:spacing w:after="160" w:line="259" w:lineRule="auto"/>
        <w:rPr>
          <w:sz w:val="28"/>
          <w:szCs w:val="28"/>
        </w:rPr>
      </w:pPr>
    </w:p>
    <w:sectPr w:rsidR="004972D8" w:rsidRPr="008B003C" w:rsidSect="000865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8C" w:rsidRDefault="00650F8C" w:rsidP="00C56D94">
      <w:r>
        <w:separator/>
      </w:r>
    </w:p>
  </w:endnote>
  <w:endnote w:type="continuationSeparator" w:id="0">
    <w:p w:rsidR="00650F8C" w:rsidRDefault="00650F8C" w:rsidP="00C5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94" w:rsidRPr="00C56D94" w:rsidRDefault="00C56D94">
    <w:pPr>
      <w:pStyle w:val="a7"/>
      <w:rPr>
        <w:sz w:val="16"/>
      </w:rPr>
    </w:pPr>
    <w:r>
      <w:rPr>
        <w:sz w:val="16"/>
      </w:rPr>
      <w:t xml:space="preserve">Рег. № 0888 от 19.12.2022, Подписано ЭП: Мищенков Николай Данилович, "ГЛАВА МУНИЦИПАЛЬНОГО ОБРАЗОВАНИЯ ""ЕЛЬНИНСКИЙ РАЙОН"" СМОЛЕНСКОЙ ОБЛАСТИ" 19.12.2022 17:14:29,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8C" w:rsidRDefault="00650F8C" w:rsidP="00C56D94">
      <w:r>
        <w:separator/>
      </w:r>
    </w:p>
  </w:footnote>
  <w:footnote w:type="continuationSeparator" w:id="0">
    <w:p w:rsidR="00650F8C" w:rsidRDefault="00650F8C" w:rsidP="00C5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3C"/>
    <w:rsid w:val="00005121"/>
    <w:rsid w:val="0000664A"/>
    <w:rsid w:val="00072230"/>
    <w:rsid w:val="000865A0"/>
    <w:rsid w:val="001415D3"/>
    <w:rsid w:val="00187AC9"/>
    <w:rsid w:val="001E4D83"/>
    <w:rsid w:val="002367F4"/>
    <w:rsid w:val="00263A23"/>
    <w:rsid w:val="002D1A59"/>
    <w:rsid w:val="00306069"/>
    <w:rsid w:val="004577B9"/>
    <w:rsid w:val="00466EF7"/>
    <w:rsid w:val="004972D8"/>
    <w:rsid w:val="00595144"/>
    <w:rsid w:val="005F447E"/>
    <w:rsid w:val="0061495B"/>
    <w:rsid w:val="0061671A"/>
    <w:rsid w:val="00650F8C"/>
    <w:rsid w:val="006B7782"/>
    <w:rsid w:val="007511A4"/>
    <w:rsid w:val="00826835"/>
    <w:rsid w:val="008307A0"/>
    <w:rsid w:val="00850CD5"/>
    <w:rsid w:val="008B003C"/>
    <w:rsid w:val="00A41073"/>
    <w:rsid w:val="00AD284A"/>
    <w:rsid w:val="00AE03AF"/>
    <w:rsid w:val="00B05298"/>
    <w:rsid w:val="00C56D94"/>
    <w:rsid w:val="00CA7C2D"/>
    <w:rsid w:val="00D04D1C"/>
    <w:rsid w:val="00D16F37"/>
    <w:rsid w:val="00D54F58"/>
    <w:rsid w:val="00E95EB3"/>
    <w:rsid w:val="00F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72AED"/>
  <w15:docId w15:val="{C927540A-D200-4EDD-BEC4-D003FFE5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538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3C"/>
    <w:pPr>
      <w:ind w:lef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972D8"/>
    <w:pPr>
      <w:ind w:left="0" w:firstLine="360"/>
      <w:jc w:val="left"/>
    </w:pPr>
    <w:rPr>
      <w:rFonts w:asciiTheme="minorHAnsi" w:eastAsiaTheme="minorEastAsia" w:hAnsiTheme="minorHAnsi" w:cstheme="minorBidi"/>
      <w:sz w:val="22"/>
      <w:lang w:val="en-US" w:bidi="en-US"/>
    </w:rPr>
  </w:style>
  <w:style w:type="paragraph" w:styleId="a5">
    <w:name w:val="header"/>
    <w:basedOn w:val="a"/>
    <w:link w:val="a6"/>
    <w:uiPriority w:val="99"/>
    <w:unhideWhenUsed/>
    <w:rsid w:val="00C56D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D9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6D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D9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D434F-BF8B-4572-AC7E-E454B9F6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Иващенкова_ВВ</dc:creator>
  <cp:lastModifiedBy>Иващенкова_ВВ</cp:lastModifiedBy>
  <cp:revision>2</cp:revision>
  <dcterms:created xsi:type="dcterms:W3CDTF">2022-12-21T06:18:00Z</dcterms:created>
  <dcterms:modified xsi:type="dcterms:W3CDTF">2022-12-21T06:18:00Z</dcterms:modified>
</cp:coreProperties>
</file>