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A130DD" w14:paraId="7E1CCC28" w14:textId="77777777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2993" w14:textId="77777777" w:rsidR="00A130DD" w:rsidRDefault="00DE43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14:paraId="31D11FFB" w14:textId="77777777" w:rsidR="00A130DD" w:rsidRDefault="00DE437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9"/>
        <w:gridCol w:w="231"/>
        <w:gridCol w:w="1500"/>
        <w:gridCol w:w="1680"/>
      </w:tblGrid>
      <w:tr w:rsidR="00A130DD" w14:paraId="45F2E7DF" w14:textId="77777777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4A6FE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72AB4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DF95B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3FA38" w14:textId="77777777" w:rsidR="00A130DD" w:rsidRDefault="00A130DD">
            <w:pPr>
              <w:rPr>
                <w:sz w:val="24"/>
              </w:rPr>
            </w:pPr>
          </w:p>
        </w:tc>
      </w:tr>
      <w:tr w:rsidR="00A130DD" w14:paraId="67539897" w14:textId="77777777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63254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56B99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DB76E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2D1B4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A130DD" w14:paraId="288EF1BE" w14:textId="77777777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1CD86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63A09" w14:textId="77777777" w:rsidR="00A130DD" w:rsidRDefault="00DE43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D597E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A130DD" w14:paraId="3C156DD9" w14:textId="77777777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CDDFE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октября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D1631" w14:textId="77777777" w:rsidR="00A130DD" w:rsidRDefault="00DE43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92321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01.10.2024</w:t>
            </w:r>
          </w:p>
        </w:tc>
      </w:tr>
      <w:tr w:rsidR="00A130DD" w14:paraId="5998958A" w14:textId="77777777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3F4E7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6F7F2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2B0F7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BDA75" w14:textId="77777777" w:rsidR="00A130DD" w:rsidRDefault="00A130DD">
            <w:pPr>
              <w:rPr>
                <w:sz w:val="24"/>
              </w:rPr>
            </w:pPr>
          </w:p>
        </w:tc>
      </w:tr>
      <w:tr w:rsidR="00A130DD" w14:paraId="0EC218FB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DC392" w14:textId="77777777" w:rsidR="00A130DD" w:rsidRDefault="00DE4371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49C38" w14:textId="77777777" w:rsidR="00A130DD" w:rsidRDefault="00A130DD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9E490" w14:textId="77777777" w:rsidR="00A130DD" w:rsidRDefault="00A130DD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24873" w14:textId="77777777" w:rsidR="00A130DD" w:rsidRDefault="00A130DD">
            <w:pPr>
              <w:rPr>
                <w:sz w:val="20"/>
              </w:rPr>
            </w:pPr>
          </w:p>
        </w:tc>
      </w:tr>
      <w:tr w:rsidR="00A130DD" w14:paraId="607D3B07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5074F" w14:textId="77777777" w:rsidR="00A130DD" w:rsidRDefault="00DE4371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64F65" w14:textId="77777777" w:rsidR="00A130DD" w:rsidRDefault="00A130DD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0AC89" w14:textId="77777777" w:rsidR="00A130DD" w:rsidRDefault="00DE4371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7CB3F" w14:textId="77777777" w:rsidR="00A130DD" w:rsidRDefault="00A130DD">
            <w:pPr>
              <w:rPr>
                <w:sz w:val="20"/>
              </w:rPr>
            </w:pPr>
          </w:p>
        </w:tc>
      </w:tr>
      <w:tr w:rsidR="00A130DD" w14:paraId="78275E01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E6139" w14:textId="77777777" w:rsidR="00A130DD" w:rsidRDefault="00DE4371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48DD7" w14:textId="77777777" w:rsidR="00A130DD" w:rsidRDefault="00A130DD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24B8C" w14:textId="77777777" w:rsidR="00A130DD" w:rsidRDefault="00A130DD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8F68D" w14:textId="77777777" w:rsidR="00A130DD" w:rsidRDefault="00A130DD">
            <w:pPr>
              <w:rPr>
                <w:sz w:val="20"/>
              </w:rPr>
            </w:pPr>
          </w:p>
        </w:tc>
      </w:tr>
      <w:tr w:rsidR="00A130DD" w14:paraId="426E68B8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E43F4" w14:textId="77777777" w:rsidR="00A130DD" w:rsidRDefault="00DE4371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19738" w14:textId="77777777" w:rsidR="00A130DD" w:rsidRDefault="00A130DD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3264B" w14:textId="77777777" w:rsidR="00A130DD" w:rsidRDefault="00A130DD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0FB1D" w14:textId="77777777" w:rsidR="00A130DD" w:rsidRDefault="00A130DD">
            <w:pPr>
              <w:rPr>
                <w:sz w:val="20"/>
              </w:rPr>
            </w:pPr>
          </w:p>
        </w:tc>
      </w:tr>
      <w:tr w:rsidR="00A130DD" w14:paraId="3A150F15" w14:textId="7777777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424F3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Бобровичского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сельского поселения Ельнинского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14:paraId="39FA4A68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5403C" w14:textId="77777777" w:rsidR="00A130DD" w:rsidRDefault="00DE43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E3070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</w:tr>
      <w:tr w:rsidR="00A130DD" w14:paraId="78DB3A5C" w14:textId="77777777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05CAA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FBCE7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EA6E8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60CF1" w14:textId="77777777" w:rsidR="00A130DD" w:rsidRDefault="00A130DD">
            <w:pPr>
              <w:rPr>
                <w:sz w:val="24"/>
              </w:rPr>
            </w:pPr>
          </w:p>
        </w:tc>
      </w:tr>
      <w:tr w:rsidR="00A130DD" w14:paraId="6E380D92" w14:textId="77777777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AE033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сельских поселений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257B2E8" w14:textId="77777777" w:rsidR="00A130DD" w:rsidRDefault="00DE437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758D5" w14:textId="77777777" w:rsidR="00A130DD" w:rsidRDefault="00DE4371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7A23E" w14:textId="77777777" w:rsidR="00A130DD" w:rsidRDefault="00DE437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66619416</w:t>
            </w:r>
          </w:p>
        </w:tc>
      </w:tr>
      <w:tr w:rsidR="00A130DD" w14:paraId="60DE8534" w14:textId="77777777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D8D33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EE4C6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B5486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6754C" w14:textId="77777777" w:rsidR="00A130DD" w:rsidRDefault="00A130DD">
            <w:pPr>
              <w:rPr>
                <w:sz w:val="24"/>
              </w:rPr>
            </w:pPr>
          </w:p>
        </w:tc>
      </w:tr>
      <w:tr w:rsidR="00A130DD" w14:paraId="33690CF3" w14:textId="77777777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8F641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BF7B4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70EF" w14:textId="77777777" w:rsidR="00A130DD" w:rsidRDefault="00DE4371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B51AC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A130DD" w14:paraId="52D0F050" w14:textId="77777777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29B78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33897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EC535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05F9D" w14:textId="77777777" w:rsidR="00A130DD" w:rsidRDefault="00A130DD">
            <w:pPr>
              <w:rPr>
                <w:sz w:val="24"/>
              </w:rPr>
            </w:pPr>
          </w:p>
        </w:tc>
      </w:tr>
      <w:tr w:rsidR="00A130DD" w14:paraId="79DC8199" w14:textId="77777777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00494" w14:textId="77777777" w:rsidR="00A130DD" w:rsidRDefault="00A130DD">
            <w:pPr>
              <w:rPr>
                <w:sz w:val="24"/>
              </w:rPr>
            </w:pPr>
          </w:p>
        </w:tc>
      </w:tr>
    </w:tbl>
    <w:p w14:paraId="00D91FFB" w14:textId="77777777" w:rsidR="00A130DD" w:rsidRPr="00DF04E0" w:rsidRDefault="00DE4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отчета об исполнении бюджета субъекта бюджетной отчетности</w:t>
      </w:r>
    </w:p>
    <w:p w14:paraId="0AC0B68C" w14:textId="1FEC6C01" w:rsidR="00A130DD" w:rsidRPr="00DF04E0" w:rsidRDefault="00DE4371" w:rsidP="00DF04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 Сведения о кассовом исполнении бюджета отражены в ф.0503117.</w:t>
      </w:r>
    </w:p>
    <w:p w14:paraId="1E27CBED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исполнения поступивших доходов в бюджет поселения составил 72,68%. (план 10 285 413 рублей 00 копеек, поступило 7 475 579 рублей 34 копейки).</w:t>
      </w:r>
    </w:p>
    <w:p w14:paraId="77C7019F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Налоговые доходы:</w:t>
      </w:r>
    </w:p>
    <w:p w14:paraId="28963400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Налога на доходы физических лиц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поступило в размере 195 928 рублей 90 копеек или процент исполнения от утвержденных годовых параметров (228 800,00) – 85,63%, что связано с увеличением налогооблагаемой базы.</w:t>
      </w:r>
    </w:p>
    <w:p w14:paraId="2555B034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Единый сельскохозяйственный налог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бюджет сельского поселения в отчетном периоде поступил в сумме 54 635 рубля 57 копеек. Процент исполнения равен 0,00% (Плановые показатели 0 рублей 00 копеек)</w:t>
      </w:r>
      <w:proofErr w:type="gram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Поступил</w:t>
      </w:r>
      <w:proofErr w:type="gram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ТОО «Кузнецовское».</w:t>
      </w:r>
    </w:p>
    <w:p w14:paraId="63558A50" w14:textId="77777777" w:rsidR="00A130DD" w:rsidRPr="00DF04E0" w:rsidRDefault="00DE4371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Налог на имущество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отчетном периоде поступил в размере 9 503 рубля 18 копеек, утвержденные годовые назначения по данному налогу составляют 54 100 рублей 00 копеек. Процент исполнения составил 17,57%, Основная сумма поступления планируется в 4 квартале, что определено сроком уплаты 01.12. 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Земельный налог с организаций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 в размере 195 198 рублей 86 копеек. (плановые показатели 189 400,00). Процент исполнения составляет 103,06%; 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Земельный налог с физических лиц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 в сумме 79 510 рублей 11 копеек (плановые значения 449 100,00). Процент исполнения составляет 17,70% </w:t>
      </w:r>
    </w:p>
    <w:p w14:paraId="63A80D94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целом земельного налога в бюджет сельского поселения поступило в размере 274 708 рублей 97 копеек при плановых назначениях 638 500,00, таким образом, процент исполнения составил 43,02%. Основная сумма поступления планируется в 4 квартале, что определено сроком уплаты 01.12.</w:t>
      </w:r>
    </w:p>
    <w:p w14:paraId="411DE3E5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 от уплаты акцизов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 в сумме 996 418 рублей 74 копейки, процент исполнения 71,50% при плановых назначениях 1 393 500 рублей 00 копеек. Данный показатель исполнения дохода характеризует его поступление в соразмерности с запланированными показателями.</w:t>
      </w:r>
    </w:p>
    <w:p w14:paraId="32BCAF12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Неналоговое доходы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исполнены в сумме 137 651 рубль 73 копейки., на отчетный период уточненный план на год утвержден в сумме 100 000 рублей 00 копеек., процент исполнения 137,65%.</w:t>
      </w:r>
    </w:p>
    <w:p w14:paraId="0B950814" w14:textId="77777777" w:rsidR="00A130DD" w:rsidRPr="00DF04E0" w:rsidRDefault="00DE4371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14:paraId="6F63A621" w14:textId="77777777" w:rsidR="00A130DD" w:rsidRPr="00DF04E0" w:rsidRDefault="00DE4371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доходы от использования имущества, находящегося в государственной и муниципальной собственности: </w:t>
      </w:r>
    </w:p>
    <w:p w14:paraId="5CE92909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Доходы, получаемые в виде арендной платы </w:t>
      </w:r>
      <w:proofErr w:type="gram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земельные участки</w:t>
      </w:r>
      <w:proofErr w:type="gram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поступили в сумме 120 651 рубль 73 копейки при плановых показателях 100 000 рублей. Процент исполнения составил 120,65%, поступает в соответствии с заключенными договорами арендной платы за земельные участки.</w:t>
      </w:r>
    </w:p>
    <w:p w14:paraId="77D83195" w14:textId="77777777" w:rsidR="00A130DD" w:rsidRPr="00DF04E0" w:rsidRDefault="00DE4371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Доходы от продажи материальных и нематериальных активов</w:t>
      </w:r>
    </w:p>
    <w:p w14:paraId="3BF30FE0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Доходы, полученные от реализации имущества (продажи автомобиля) поступили в сумме 17 000 рублей. Процент исполнения равен 0,00% (Плановые показатели 0 рублей 00 копеек).</w:t>
      </w:r>
    </w:p>
    <w:p w14:paraId="76B4C9D5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Безвозмездные поступления: </w:t>
      </w:r>
    </w:p>
    <w:p w14:paraId="10AFD8D5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доходной части бюджета составляют безвозмездные поступления 130,68% от общей суммы утвержденных уточненных доходов.</w:t>
      </w:r>
    </w:p>
    <w:p w14:paraId="451E1EF2" w14:textId="77777777" w:rsidR="00A130DD" w:rsidRPr="00DF04E0" w:rsidRDefault="00DE4371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утвержденных безвозмездных поступлений составляет 7 870 513 рублей 00 копеек. Фактически исполнено на отчетную дату 5 806 732 рубля 25 копеек. Процент поступления составил 73,78%.</w:t>
      </w:r>
    </w:p>
    <w:p w14:paraId="2F961344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в бюджет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Бобровичского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отчетном периоде поступила дотация на выравнивание бюджетной обеспеченности из бюджетов муниципальных районов в размере 4 285 800 рублей 00 копеек (план 5 714 800,00). Процент поступления составил 74,99%.</w:t>
      </w:r>
    </w:p>
    <w:p w14:paraId="2B6DDA04" w14:textId="77777777" w:rsidR="00A130DD" w:rsidRPr="00DF04E0" w:rsidRDefault="00DE43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Субвенция на осуществление первичного воинского учета на территориях, где отсутствуют военные комиссариаты поступила в сумме 21 832 рубля 26 копеек (план 51 600,00</w:t>
      </w:r>
      <w:proofErr w:type="gram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).Процент</w:t>
      </w:r>
      <w:proofErr w:type="gram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поступления составил 42,31%.</w:t>
      </w:r>
    </w:p>
    <w:p w14:paraId="30519BC7" w14:textId="77777777" w:rsidR="00A130DD" w:rsidRPr="00DF04E0" w:rsidRDefault="00DE43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Уточненные плановые назначения по субсидиям бюджетам бюджетной системы Российской Федерации (межбюджетные субсидии) на отчетный период составили в сумме 900 000 рублей 00 копеек. На отчетную дату денежных средств поступило в сумме 899 999 рублей 99 копеек. Процент исполнения 100,00%.</w:t>
      </w:r>
    </w:p>
    <w:p w14:paraId="45D1F058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Доходы в разрезе субсидий представлены следующим образом:</w:t>
      </w:r>
    </w:p>
    <w:p w14:paraId="21FE2BA6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Прочие субсидии бюджетам сельских поселений (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 на софинансирование расходов бюджетов муниципальных образований Смоленской области, связанных с ремонтом и восстановлением воинских захоронений и мемориальных сооружений, находящихся вне воинских захоронений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запланированы в сумме 900 000 рублей 00 копеек, денежные средства на 01.10.2024 поступили в сумме 899 999 рублей 99 копеек. Процент исполнения 100,00%.</w:t>
      </w:r>
    </w:p>
    <w:p w14:paraId="2EDD4451" w14:textId="77777777" w:rsidR="00A130DD" w:rsidRPr="00DF04E0" w:rsidRDefault="00DE43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межбюджетные трансферты поступили в сумме 599 100 рублей 00 копеек. В том числе прочие межбюджетные трансферты, передаваемые бюджетам сельских поселений (Иные межбюджетные трансферты муниципальным образованиям Смоленской области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поощрения муниципальных управленческих команд за достижение плановых значений показателей – 112 000 руб., для решения вопросов местного значения в соответствии с обращениями в Администрацию муниципального образования «Ельнинский район» Смоленской области – 487 100 руб.) в сумме 599 100 рублей 00 копеек., На отчетный период уточненный план утвержден в сумме 1 204 113 руб. Процент исполнения 49,75%.</w:t>
      </w:r>
    </w:p>
    <w:p w14:paraId="79929610" w14:textId="77777777" w:rsidR="00A130DD" w:rsidRPr="00DF04E0" w:rsidRDefault="00DE4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4EC4C907" w14:textId="4BF81F81" w:rsidR="00A130DD" w:rsidRPr="00DF04E0" w:rsidRDefault="00DE4371" w:rsidP="00DF04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Расходы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60F831" w14:textId="77777777" w:rsidR="00A130DD" w:rsidRPr="00DF04E0" w:rsidRDefault="00DE4371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бюджета сельского поселения составили 6 852 396 рублей 79 копеек, плановые назначения 10 601 727 рублей 81 копейка. Процент исполнения расходов бюджета сельского поселения составил 64,63%.</w:t>
      </w:r>
    </w:p>
    <w:p w14:paraId="191E6A29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B8D710" w14:textId="08DD7A19" w:rsidR="00A130DD" w:rsidRPr="00DF04E0" w:rsidRDefault="00DE4371" w:rsidP="00DF04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ОБЩЕГОСУДАРСТВЕННЫЕ ВОПРОСЫ (КОД 0100)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1F2DB1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Расходы на содержание главы муниципального образования по подразделу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0102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Функционирование высшего должностного лица субъекта РФ и муниципального образования" составили 677 805 рублей 20 копеек при плановых параметрах бюджета 1 232 393 рубля 00 копеек или 55,0%. Из них на выплату фонда оплаты труда 612 705 рублей 20 копеек, на поощрение муниципальных управленческих команд за достижение плановых значений показателей израсходовано 65 100 рублей 00 копеек. </w:t>
      </w:r>
    </w:p>
    <w:p w14:paraId="7828D7EF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Денежные средства были направлены на осуществление деятельности органа исполнительной власти местного самоуправления по подразделу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0104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в сумме 3 943 992 рубля 92 копейки (плановые назначения 5 677 804 рубля 00 копеек).</w:t>
      </w:r>
    </w:p>
    <w:p w14:paraId="51F0D699" w14:textId="77777777" w:rsidR="00A130DD" w:rsidRPr="00DF04E0" w:rsidRDefault="00DE43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на выплату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фонда заработной платы 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задействовано средств в сумме 3 529 238 рублей </w:t>
      </w:r>
      <w:proofErr w:type="gram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30  копеек</w:t>
      </w:r>
      <w:proofErr w:type="gram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(плановые назначения 5 066 043 рубля 00 копеек)</w:t>
      </w:r>
    </w:p>
    <w:p w14:paraId="1F657F47" w14:textId="77777777" w:rsidR="00B90C88" w:rsidRPr="00DF04E0" w:rsidRDefault="00DE4371" w:rsidP="00B90C8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иные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закупки товаров, работ и услуг для обеспечения муниципальных нужд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направлено 362 009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62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копейки. Плановые назначения 556 861 рубль 00 копеек. Процент исполнения 65,01%. </w:t>
      </w:r>
    </w:p>
    <w:p w14:paraId="13D09C84" w14:textId="77777777" w:rsidR="00A130DD" w:rsidRPr="00DF04E0" w:rsidRDefault="00A130D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5111FA3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уплату прочих налогов и сборов, на иные выплаты текущего характера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организациям в отчетном периоде денежных средств направлено в сумме 5 845 рублей 00 копеек. Плановые назначения 8 000 рублей 00 копеек. Процент исполнения 73,06%.</w:t>
      </w:r>
    </w:p>
    <w:p w14:paraId="3CF78615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поощрение муниципальных управленческих команд за достижение плановых значений показателей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израсходовано 46 900 рублей 00 копеек. Плановые назначения 46 900 рублей 00 копеек. Процент исполнения 100,00%.</w:t>
      </w:r>
    </w:p>
    <w:p w14:paraId="7EDFB39C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Процент исполнения расходов по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данному подразделу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составил 69,46%.</w:t>
      </w:r>
    </w:p>
    <w:p w14:paraId="66FA5BA9" w14:textId="77777777" w:rsidR="00A130DD" w:rsidRPr="00DF04E0" w:rsidRDefault="00DE43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Финансирование расходов осуществляется согласно фактически оказанных работ, услуг, приобретенных товаров.</w:t>
      </w:r>
    </w:p>
    <w:p w14:paraId="2D9B4321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обеспечение деятельности финансовых, налоговых и таможенных органов и органов финансового (финансово-бюджетного) надзора (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0106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согласно соглашениям на предоставление межбюджетных трансфертов по передаче полномочий контрольно-счетному органу, по передаче полномочий по казначейскому исполнению запланировано 41 500 рублей 00 копеек. Финансирование расходов в отчетном периоде составило 31 125 рублей 00 копеек. Процент исполнения по вышеуказанному подразделу составил 75,00%.</w:t>
      </w:r>
    </w:p>
    <w:p w14:paraId="386B0F92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рамках подраздела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0111 Резервные фонды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плановые назначения составляют 2 109 рублей 00 копеек. На 01.10.2024 денежные средства не расходовались.</w:t>
      </w:r>
    </w:p>
    <w:p w14:paraId="7E4131EC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рамках подраздела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0113 «Другие общегосударственные вопросы» 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запланированы расходы в сумме 909 091 рубль 00 копеек.</w:t>
      </w:r>
    </w:p>
    <w:p w14:paraId="26251B6E" w14:textId="77777777" w:rsidR="00A130DD" w:rsidRPr="00DF04E0" w:rsidRDefault="00DE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рамках программных мероприятий:</w:t>
      </w:r>
    </w:p>
    <w:p w14:paraId="789A05A0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Предусмотрены расходы в рамках муниципальной программы</w:t>
      </w:r>
      <w:r w:rsidRPr="00DF0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Увековечение памяти погибших при защите Отечества в </w:t>
      </w:r>
      <w:proofErr w:type="spellStart"/>
      <w:r w:rsidRPr="00DF0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Бобровичском</w:t>
      </w:r>
      <w:proofErr w:type="spellEnd"/>
      <w:r w:rsidRPr="00DF0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сельском поселении Ельнинского района Смоленской области»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сумме 909 091 рубль 00 копеек.</w:t>
      </w:r>
    </w:p>
    <w:p w14:paraId="47D6D3F2" w14:textId="77777777" w:rsidR="00A130DD" w:rsidRPr="00DF04E0" w:rsidRDefault="00DE4371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них средства:</w:t>
      </w:r>
    </w:p>
    <w:p w14:paraId="178DB878" w14:textId="77777777" w:rsidR="00A130DD" w:rsidRPr="00DF04E0" w:rsidRDefault="00DE4371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областного бюджета – 900 000 руб.</w:t>
      </w:r>
    </w:p>
    <w:p w14:paraId="32EA86FF" w14:textId="77777777" w:rsidR="00A130DD" w:rsidRPr="00DF04E0" w:rsidRDefault="00DE4371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местного бюджета – 9 091 руб.</w:t>
      </w:r>
    </w:p>
    <w:p w14:paraId="6A49AF57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отчетный период денежные средства израсходованы в сумме 909 091 рубль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Процент исполнения расходов составил 100,00%.</w:t>
      </w:r>
    </w:p>
    <w:p w14:paraId="27D87A1E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направлены на выполнение работ по ремонту и восстановлению воинского захоронения: Могила Образцова Ф.П. и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Лохтюхова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Д.В., расстрелянных немецко-фашистскими захватчиками, июнь 1942 г., (местоположение: Смоленская область, Ельнинский райо</w:t>
      </w:r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н, д. Холмец)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работ по ремонту и восстановлению воинского захоронения: Могила советского воина-десантника, павшего в боях с немецко-фашистскими захватчикам, 1942 г., (местоположение: Смоленская область, Ел</w:t>
      </w:r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ьнинский район, д. </w:t>
      </w:r>
      <w:proofErr w:type="spellStart"/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Никифорово</w:t>
      </w:r>
      <w:proofErr w:type="spellEnd"/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спил аварийного дерева на воинском захоронении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Никифорово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д. Холмец;</w:t>
      </w:r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работ по установке металлических оград и скамеек на воинских захоронениях:  Могила советского воина-десантника, павшего в боях с немецко-фашистскими захватчиками,1942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Никифорово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работ по установке металлических оград и скамеек на воинских захоронениях:  Могила Образцова Ф.П. И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Лохтюхова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Д.В.,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растрелянных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немецко-фашистскими захв</w:t>
      </w:r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атчиками, июнь 1942г. д. Холмец,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Установка мемориальных знаков на воинском захоронениях: Могила советского воина-десантника, павшего в боях с немецко-фашистскими захватчиками,1942; Могила Образцова Ф.П. И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Лохтюхова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Д.В.,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растрелянных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немецко-фашистскими захватчиками, июнь 1942г.,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Никифорово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д.Холмец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6D19EC0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разделу «Общегосударственные вопросы» запланировано расходов в сумме 7 862 897 рублей 00 копеек, израсходовано – 5 562 014 рублей 12 копеек. Процент исполнения расходов составил 70,74%.</w:t>
      </w:r>
    </w:p>
    <w:p w14:paraId="22C3FB07" w14:textId="77777777" w:rsidR="00DE4371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381F5C3" w14:textId="77777777" w:rsidR="00A130DD" w:rsidRPr="00DF04E0" w:rsidRDefault="00DE437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НАЦИОНАЛЬНАЯ ОБОРОНА (КОД 0200)</w:t>
      </w:r>
    </w:p>
    <w:p w14:paraId="3BBE18D9" w14:textId="77777777" w:rsidR="00A130DD" w:rsidRPr="00DF04E0" w:rsidRDefault="00DE43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осуществление мероприятий в области мобилизационной и вневойсковой подготовки (подраздел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0203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было израсходовано в сумме 21 832 рубля 26 копеек. Из них на оплату труда с начислениями направлено 21 832 рубля 26 копеек. Процент исполнения расходов по данному подразделу составил 42,31%. (Плановые показатели – 51 600 рублей 00 копеек).</w:t>
      </w:r>
    </w:p>
    <w:p w14:paraId="06CC22F7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разделу национальная оборона плановые назначения составляют 51 600 рублей 00 копеек, израсходовано 21 832 рубля </w:t>
      </w:r>
      <w:proofErr w:type="gram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26  копеек</w:t>
      </w:r>
      <w:proofErr w:type="gram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процент исполнения расходов 42,31%.</w:t>
      </w:r>
    </w:p>
    <w:p w14:paraId="606600F2" w14:textId="77777777" w:rsidR="00A130DD" w:rsidRPr="00DF04E0" w:rsidRDefault="00DE437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НАЦИОНАЛЬНАЯ БЕЗОПАСНОСТЬ И ПРАВООХРАНИТЕЛЬНАЯ ДЕЯТЕЛЬНОСТЬ (код 0300)</w:t>
      </w:r>
    </w:p>
    <w:p w14:paraId="443F2BFD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защиту населения и территории от чрезвычайных ситуаций по подразделу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0310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" Защита населения и территории от чрезвычайных ситуаций природного и техногенного характера, пожарная безопасность " денежные средства на отчетный период не расходовались. Уточненные плановые назначения по данному мероприятию составляют 64 000 рублей 00 копеек. Процент исполнения расходов 100,00%. Израсходованы в сумме 64 000 рублей на скашивание травы на территории населенных пунктов д. Богородицкое,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Топорово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Бобровичи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Фенино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Кондраты, д. Лопатино,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Гаристово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Старое Устиново,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Петрянино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Ушаково,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Фенино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Амфилаты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Измайлово, д. Рождество, д. Хлысты,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Черемисино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Никифорово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Волково,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Ивано-Гудино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Добрушино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 д. Холмец, д. Кузнецово.</w:t>
      </w:r>
    </w:p>
    <w:p w14:paraId="46876E37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разделу национальная безопасность и правоохранительная деятельность плановые назначения составляют 64 000 рублей 00 копеек, израсходовано 64 000 рублей 00 копеек, процент исполнения расходов 100,00%.</w:t>
      </w:r>
    </w:p>
    <w:p w14:paraId="549BFDA2" w14:textId="77777777" w:rsidR="00A130DD" w:rsidRPr="00DF04E0" w:rsidRDefault="00DE437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НАЦИОНАЛЬНАЯ ЭКОНОМИКА (код 0400)</w:t>
      </w:r>
    </w:p>
    <w:p w14:paraId="7F5E1EE4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Плановые расходы по подразделу Дорожное хозяйство (дорожные фонды)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0409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определены в сумме 1 715 814 рублей 81 копейка. В том числе в рамках реализации </w:t>
      </w:r>
      <w:r w:rsidRPr="00DF04E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муниципальной программы «Обеспечение безопасности дорожного движения на территории </w:t>
      </w:r>
      <w:proofErr w:type="spellStart"/>
      <w:r w:rsidRPr="00DF04E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Бобровичского</w:t>
      </w:r>
      <w:proofErr w:type="spellEnd"/>
      <w:r w:rsidRPr="00DF04E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сельского поселения Ельнинского района Смоленской области» 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запланировано расходов в сумме 1 715 814 рублей 81 копейка:</w:t>
      </w:r>
    </w:p>
    <w:p w14:paraId="58D4185F" w14:textId="77777777" w:rsidR="00A130DD" w:rsidRPr="00DF04E0" w:rsidRDefault="00DE43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На выполнение ремонтно-восстановительных работ по восстановлению улично-дорожной сети запланировано расходов в сумме 1 165 814 рублей 81 копейка. Израсходовано денежных средств в сумме 657 941 рубль 65 копейки. Процент исполнения расходов составил 56,44%.</w:t>
      </w:r>
    </w:p>
    <w:p w14:paraId="5BB7E4FA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числе:</w:t>
      </w:r>
    </w:p>
    <w:p w14:paraId="38D83D50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счет средств дорожного фонда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израсходовано 657 941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рубль 65 копеек (уточненные плановые назначения 1 039 817 рублей 86 копеек).</w:t>
      </w:r>
    </w:p>
    <w:p w14:paraId="5AB4EE84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Денежные средства были направлены на уборку снега дорожно-уличной сети в населенных пунктах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Бобровичского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Амфилаты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Измайлово,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д.Фенино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д.Рождество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Волково, д. Хлысты ,д.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Черемисино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Старое Устиново,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Петрянино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Ушаково, д Лопатино,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Кондраты,д.Гаристово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Фенино.д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Бобровичи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Ивано-Гудино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Добрушино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Холмец, Кузнецово,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Дядищево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Топорово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Богородицкое,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Чужумово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услуги спец. транспорта по уборке снега, кадастровые работы по изготовле</w:t>
      </w:r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нию межевого плана земельного у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частка улично-дорожной сети из земель населенных пунктов по адресу: Российская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Федерация,Смоленская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область, Ельнинский район,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Бобровичское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поселения, д. Рождество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 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Скашивание травы вдоль дорог местного значения д. Богородицкое,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Топорово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Чужумово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Бобровичи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Фенино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Кондраты, д. Лопатино,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Гаристово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Старое Устиново,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Петрянино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Ушаково,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Фенино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Амфилаты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Измайлово, д. Рождество, д. Хлысты,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Черемисино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Никифорово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Волково,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Ивано-Гудино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Добрушино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Никитино,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Федорово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Холмец, д. Кузнецово,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Дядищево</w:t>
      </w:r>
      <w:proofErr w:type="spellEnd"/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 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Ремонт дороги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д.Фенино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Кадастровые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по изготовлению межевого и технического плана дорожно-уличной сети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д.Богородицкое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ул.Молодежная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Бобровичскогосельского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Ельнинского района Смоленской области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B90C88"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Кадастровые работы по изготовлению межевого  и технического плана дорожно-уличной сети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д.Ивано-Гудино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ул.Верхняя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Бобровичскогосельского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Ельнинского района Смоленской области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 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Кадастровые работы по изготовлению межевого и технического плана дорожно-уличной сети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д.Ивано-Гудино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ул.Нижняя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Бобровичскогосельского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Ельнинского района Смоленской области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6A2F3097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счет средств местного бюджета на отчетный период денежные средства не расходовались. Плановые назначения составляют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125 996 рублей 95 копеек.</w:t>
      </w:r>
    </w:p>
    <w:p w14:paraId="2F680D9D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средств израсходовано в сумме </w:t>
      </w:r>
      <w:proofErr w:type="gram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657  941</w:t>
      </w:r>
      <w:proofErr w:type="gram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рубль 65 копеек.</w:t>
      </w:r>
    </w:p>
    <w:p w14:paraId="45DF0412" w14:textId="77777777" w:rsidR="00A130DD" w:rsidRPr="00DF04E0" w:rsidRDefault="00DE43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На обеспечение безопасности дорожного движения за счет средств дорожного фонда запланировано расходов в бюджете сельского поселения в сумме 550 000 рублей 00 копеек.</w:t>
      </w:r>
    </w:p>
    <w:p w14:paraId="17ABFDAF" w14:textId="77777777" w:rsidR="00A130DD" w:rsidRPr="00DF04E0" w:rsidRDefault="00DE43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рамках обеспечения мер по освещению и осмотру дорог направлено 306 724 рубля 75 копеек (плановые назначения 550 000 рублей 00 копеек). Процент исполнения расходов 55,77%.</w:t>
      </w:r>
    </w:p>
    <w:p w14:paraId="3C2FDF91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процент исполнения по данному подразделу составил 56,22% или 964 666 рублей 40 копеек (Плановые назначения 1 715 814 рублей 81 копейка).</w:t>
      </w:r>
    </w:p>
    <w:p w14:paraId="13A091F9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Уточненные плановые расходы по подразделу Другие вопросы в области национальной экономики 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(0412)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реализацию муниципальной программы «Развитие субъектов малого и среднего предпринимательства в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Бобровичском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 поселении Ельнинского района Смоленской области», программным мероприятием, которой, является оказание финансовой, имущественной, информационной и консультативной поддержки, а также выполнение мероприятий по решению кадровых проблем субъектов малого и среднего предпринимательства за счет средств местного бюджета на отчетный период составляют 0 рублей 00 копеек. Процент исполнения расходов в рамках данного подраздела составил 0,00%.</w:t>
      </w:r>
    </w:p>
    <w:p w14:paraId="120CBE33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Процент исполнения расходов в рамках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раздела «Национальная экономика» (код 0400)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составил 56,22 %. (плановые показатели – 1 715 814 рублей 81 копейка; фактические показатели – 964 666 рублей 40 копеек).</w:t>
      </w:r>
    </w:p>
    <w:p w14:paraId="0DE95B9C" w14:textId="77777777" w:rsidR="00A130DD" w:rsidRPr="00DF04E0" w:rsidRDefault="00DE43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ЖИЛИЩНО-КОММУНАЛЬНОЕ ХОЗЯЙСТВО (код 0500)</w:t>
      </w:r>
    </w:p>
    <w:p w14:paraId="4C6C222C" w14:textId="77777777" w:rsidR="00DE4371" w:rsidRPr="00DF04E0" w:rsidRDefault="00DE437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B67DC28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содержание объектов коммунального хозяйства по подразделу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0502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" Коммунальное хозяйство" запланировано денежных средств в сумме 521 000 рублей 00 копеек, финансирование по данному подразделу на отчетный период составило 36 000 рублей. Израсходованы на выполнение кадастровых работ по образованию земельных участков под шахтными колодцами и изготовление технических пл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анов на объекты недвижимости д.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Фенино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ул.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Лесная вблизи д.5, ул.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Сенная вблизи д.</w:t>
      </w:r>
      <w:proofErr w:type="gram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3,д.СтароеУстиново</w:t>
      </w:r>
      <w:proofErr w:type="gram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.ул.Гвардейская вблизи д.12. Процент исполнения расходов в рамках данного подраздела составил 6,91%.</w:t>
      </w:r>
    </w:p>
    <w:p w14:paraId="0A75D322" w14:textId="77777777" w:rsidR="00A130DD" w:rsidRPr="00DF04E0" w:rsidRDefault="00DE43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рамках подраздела </w:t>
      </w:r>
      <w:r w:rsidRPr="00DF0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0503</w:t>
      </w:r>
      <w:r w:rsidR="00534B3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"Благоустройство" запланировано расходов в сумме 386 416 рублей 00 копеек. Израсходовано на отчетный период в сумме 203 884 рубля 01 копейка. Процент исполнения составил 52,76%.</w:t>
      </w:r>
    </w:p>
    <w:p w14:paraId="653188B4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содержание </w:t>
      </w:r>
      <w:r w:rsidRPr="00DF0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уличного освещения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было направлено 157 724 рубля 01 копейка, а именно: </w:t>
      </w:r>
    </w:p>
    <w:p w14:paraId="38565AED" w14:textId="77777777" w:rsidR="00A130DD" w:rsidRPr="00DF04E0" w:rsidRDefault="00534B3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E4371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Обслуживание систем наружного освещения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E4371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3EB0166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ехнологическое присоединение объ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ектов наружного освещения Смоленская область Ельнинский район, д.</w:t>
      </w:r>
      <w:r w:rsidR="00534B3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Добрушино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34B3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ул.</w:t>
      </w:r>
      <w:r w:rsidR="00534B3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Зеленая,</w:t>
      </w:r>
      <w:r w:rsidR="00534B3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д.2,возле</w:t>
      </w:r>
      <w:proofErr w:type="gramEnd"/>
      <w:r w:rsidR="00B90C88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колодца, опора 78 7/3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9A194F3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Технологическое присоединение объектов наружного освещения Смоленская область Ельнинский район, д. Ушаково, ул. Гвардейская около д.10, линия1.</w:t>
      </w:r>
    </w:p>
    <w:p w14:paraId="56DC0186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Приобретение светодиодных ламп, фотореле.</w:t>
      </w:r>
    </w:p>
    <w:p w14:paraId="513343F3" w14:textId="77777777" w:rsidR="00A130DD" w:rsidRPr="00DF04E0" w:rsidRDefault="00DE437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Процент освоения составил 95,30%. (плановые назначения 165 500,00 руб.).</w:t>
      </w:r>
    </w:p>
    <w:p w14:paraId="36C2AC0D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 </w:t>
      </w:r>
      <w:r w:rsidRPr="00DF0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мест захоронений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плановые расходы составляют – 220 916 рублей 00 копеек. Денежные средства в отчетном периоде направлялись на приобретени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краски для ремонта памятников,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Завоз песк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на гражданские кладбища д.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Лопатино, д.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Дядищево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Рождество, д.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Никитино, оказание услуг по подвозу песка на гражданские кладбища населенных пунктов </w:t>
      </w:r>
      <w:proofErr w:type="spellStart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Бобровичского</w:t>
      </w:r>
      <w:proofErr w:type="spellEnd"/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Ельнинского района Смоленской области д.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Рождество, д.</w:t>
      </w:r>
      <w:r w:rsidR="00D0032F"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Кондраты, д. Богородицкое.</w:t>
      </w:r>
    </w:p>
    <w:p w14:paraId="654F4257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Всего израсходовано денежных средств в сумме 46 160 рублей 00 копеек. Процент исполнения расходов 20,89%.</w:t>
      </w:r>
    </w:p>
    <w:p w14:paraId="2CB0F8B8" w14:textId="77777777" w:rsidR="00A130DD" w:rsidRPr="00DF04E0" w:rsidRDefault="00DE437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0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разделу «Жилищно-коммунальное хозяйство» (код 0500) запланировано расходов в сумме 907 416 рублей 00 копеек, израсходовано 239 884 рубля 01 копейка. Процент исполнения составил 26,44%.</w:t>
      </w:r>
    </w:p>
    <w:p w14:paraId="1C428104" w14:textId="77777777" w:rsidR="00A130DD" w:rsidRPr="00DF04E0" w:rsidRDefault="00A130D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9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732"/>
        <w:gridCol w:w="3478"/>
      </w:tblGrid>
      <w:tr w:rsidR="00A130DD" w14:paraId="069BD191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2595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A8A2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7F3FA72" wp14:editId="65DBE60A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3115" w14:textId="77777777" w:rsidR="00A130DD" w:rsidRDefault="00A130DD"/>
        </w:tc>
      </w:tr>
      <w:tr w:rsidR="00A130DD" w14:paraId="0283B9C3" w14:textId="77777777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36079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CFA9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47BC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0DD" w14:paraId="73068A78" w14:textId="77777777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A25BD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30DD" w14:paraId="714E4C9C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0106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31E85" w14:textId="77777777" w:rsidR="00A130DD" w:rsidRDefault="00A130DD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97E8" w14:textId="77777777" w:rsidR="00A130DD" w:rsidRDefault="00A130DD">
            <w:pPr>
              <w:rPr>
                <w:sz w:val="24"/>
              </w:rPr>
            </w:pPr>
          </w:p>
        </w:tc>
      </w:tr>
      <w:tr w:rsidR="00A130DD" w14:paraId="6E4CF0D2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F8C0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D629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B8C2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0DD" w14:paraId="09DE107A" w14:textId="77777777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F9C5B" w14:textId="77777777" w:rsidR="00A130DD" w:rsidRDefault="00A130DD">
            <w:pPr>
              <w:rPr>
                <w:sz w:val="24"/>
              </w:rPr>
            </w:pPr>
          </w:p>
        </w:tc>
      </w:tr>
      <w:tr w:rsidR="00A130DD" w14:paraId="6ED1345A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BB63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D639F1B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1DB95FD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FA2E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150CF0" wp14:editId="029E1DF8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B8670" w14:textId="77777777" w:rsidR="00A130DD" w:rsidRDefault="00A130DD">
            <w:pPr>
              <w:rPr>
                <w:sz w:val="24"/>
              </w:rPr>
            </w:pPr>
          </w:p>
        </w:tc>
      </w:tr>
      <w:tr w:rsidR="00A130DD" w14:paraId="6D50BED2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24D57" w14:textId="77777777" w:rsidR="00A130DD" w:rsidRDefault="00DE43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EB22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239D0" w14:textId="77777777" w:rsidR="00A130DD" w:rsidRDefault="00DE437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4DB56B76" w14:textId="77777777" w:rsidR="00A130DD" w:rsidRDefault="00DE437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3E85A5E" w14:textId="77777777" w:rsidR="00A130DD" w:rsidRDefault="00DE437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"____"   ____________ 20____г.</w:t>
      </w:r>
    </w:p>
    <w:p w14:paraId="43DFB372" w14:textId="77777777" w:rsidR="00A130DD" w:rsidRDefault="00DE4371">
      <w:r>
        <w:rPr>
          <w:rFonts w:ascii="Times New Roman" w:eastAsia="Times New Roman" w:hAnsi="Times New Roman" w:cs="Times New Roman"/>
          <w:sz w:val="24"/>
          <w:szCs w:val="24"/>
        </w:rPr>
        <w:t>Документ подписан электронной подписью. Дата представления 23.10.2024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бухгалтер(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Афанасьева Ирина Евгеньевна, Сертификат: 00C0FF6C32796113B16474741710FB28D7, Действителен: с 13.12.2023 по 07.03.2025), Руководитель(Малахова Раиса Николаевна, Сертификат: 3BDF3B39A1880ADC84009EA884959723, Действителен: с 08.08.2024 по 01.11.2025)        </w:t>
      </w:r>
    </w:p>
    <w:sectPr w:rsidR="00A130DD" w:rsidSect="00DF04E0">
      <w:pgSz w:w="15840" w:h="12240" w:orient="landscape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DD"/>
    <w:rsid w:val="00534B3F"/>
    <w:rsid w:val="007629A4"/>
    <w:rsid w:val="00A130DD"/>
    <w:rsid w:val="00B90C88"/>
    <w:rsid w:val="00BB5AF2"/>
    <w:rsid w:val="00C5577F"/>
    <w:rsid w:val="00D0032F"/>
    <w:rsid w:val="00DE4371"/>
    <w:rsid w:val="00D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B2F9"/>
  <w15:docId w15:val="{4422FB6D-6342-42CC-A0B1-77A91AF6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3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sks-app-server/www-data</dc:creator>
  <cp:lastModifiedBy>С.В. Королькова</cp:lastModifiedBy>
  <cp:revision>4</cp:revision>
  <cp:lastPrinted>2024-11-19T12:08:00Z</cp:lastPrinted>
  <dcterms:created xsi:type="dcterms:W3CDTF">2024-11-19T11:22:00Z</dcterms:created>
  <dcterms:modified xsi:type="dcterms:W3CDTF">2024-11-19T12:11:00Z</dcterms:modified>
</cp:coreProperties>
</file>