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>
        <w:rPr>
          <w:szCs w:val="24"/>
        </w:rPr>
        <w:t>Документ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предоставлен</w:t>
      </w:r>
      <w:proofErr w:type="spellEnd"/>
      <w:r>
        <w:rPr>
          <w:szCs w:val="24"/>
        </w:rPr>
        <w:t xml:space="preserve"> </w:t>
      </w:r>
      <w:hyperlink r:id="rId4" w:history="1">
        <w:proofErr w:type="spellStart"/>
        <w:r>
          <w:rPr>
            <w:color w:val="0000FF"/>
            <w:szCs w:val="24"/>
          </w:rPr>
          <w:t>КонсультантПлюс</w:t>
        </w:r>
        <w:proofErr w:type="spellEnd"/>
      </w:hyperlink>
      <w:r>
        <w:rPr>
          <w:szCs w:val="24"/>
        </w:rPr>
        <w:br/>
      </w: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3A6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A6E" w:rsidRDefault="00F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30 </w:t>
            </w:r>
            <w:proofErr w:type="spellStart"/>
            <w:r>
              <w:rPr>
                <w:b w:val="0"/>
                <w:bCs w:val="0"/>
                <w:szCs w:val="24"/>
              </w:rPr>
              <w:t>апреля</w:t>
            </w:r>
            <w:proofErr w:type="spellEnd"/>
            <w:r>
              <w:rPr>
                <w:b w:val="0"/>
                <w:bCs w:val="0"/>
                <w:szCs w:val="24"/>
              </w:rPr>
              <w:t> 2009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A6E" w:rsidRDefault="00F93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32-з</w:t>
            </w:r>
          </w:p>
        </w:tc>
      </w:tr>
    </w:tbl>
    <w:p w:rsidR="00F93A6E" w:rsidRDefault="00F93A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О НАЛОГОВЫХ СТАВКАХ ДЛЯ НАЛОГОПЛАТЕЛЬЩИКОВ, ПРИМЕНЯЮЩИХ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УПРОЩЕННУЮ СИСТЕМУ НАЛОГООБЛОЖЕНИЯ, В СЛУЧАЕ ЕСЛИ ОБЪЕКТОМ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НАЛОГООБЛОЖЕНИЯ ЯВЛЯЮТСЯ ДОХОДЫ, УМЕНЬШЕННЫЕ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НА ВЕЛИЧИНУ РАСХОДОВ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30 апреля 2009 года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17"/>
      <w:bookmarkEnd w:id="0"/>
      <w:r w:rsidRPr="00F93A6E">
        <w:rPr>
          <w:b w:val="0"/>
          <w:bCs w:val="0"/>
          <w:szCs w:val="24"/>
          <w:lang w:val="ru-RU"/>
        </w:rPr>
        <w:t>Статья 1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 xml:space="preserve">1. В соответствии с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F93A6E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F93A6E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F93A6E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F93A6E">
        <w:rPr>
          <w:b w:val="0"/>
          <w:bCs w:val="0"/>
          <w:szCs w:val="24"/>
          <w:lang w:val="ru-RU"/>
        </w:rPr>
        <w:instrText>=3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D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FF</w:instrText>
      </w:r>
      <w:r w:rsidRPr="00F93A6E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FBD</w:instrText>
      </w:r>
      <w:r w:rsidRPr="00F93A6E">
        <w:rPr>
          <w:b w:val="0"/>
          <w:bCs w:val="0"/>
          <w:szCs w:val="24"/>
          <w:lang w:val="ru-RU"/>
        </w:rPr>
        <w:instrText>04</w:instrText>
      </w:r>
      <w:r>
        <w:rPr>
          <w:b w:val="0"/>
          <w:bCs w:val="0"/>
          <w:szCs w:val="24"/>
        </w:rPr>
        <w:instrText>B</w:instrText>
      </w:r>
      <w:r w:rsidRPr="00F93A6E">
        <w:rPr>
          <w:b w:val="0"/>
          <w:bCs w:val="0"/>
          <w:szCs w:val="24"/>
          <w:lang w:val="ru-RU"/>
        </w:rPr>
        <w:instrText>3004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878</w:instrText>
      </w:r>
      <w:r>
        <w:rPr>
          <w:b w:val="0"/>
          <w:bCs w:val="0"/>
          <w:szCs w:val="24"/>
        </w:rPr>
        <w:instrText>DA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63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280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0395</w:instrText>
      </w:r>
      <w:r>
        <w:rPr>
          <w:b w:val="0"/>
          <w:bCs w:val="0"/>
          <w:szCs w:val="24"/>
        </w:rPr>
        <w:instrText>FA</w:instrText>
      </w:r>
      <w:r w:rsidRPr="00F93A6E">
        <w:rPr>
          <w:b w:val="0"/>
          <w:bCs w:val="0"/>
          <w:szCs w:val="24"/>
          <w:lang w:val="ru-RU"/>
        </w:rPr>
        <w:instrText>279</w:instrText>
      </w:r>
      <w:r>
        <w:rPr>
          <w:b w:val="0"/>
          <w:bCs w:val="0"/>
          <w:szCs w:val="24"/>
        </w:rPr>
        <w:instrText>F</w:instrText>
      </w:r>
      <w:r w:rsidRPr="00F93A6E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DD</w:instrText>
      </w:r>
      <w:r w:rsidRPr="00F93A6E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F93A6E">
        <w:rPr>
          <w:b w:val="0"/>
          <w:bCs w:val="0"/>
          <w:szCs w:val="24"/>
          <w:lang w:val="ru-RU"/>
        </w:rPr>
        <w:instrText>13</w:instrText>
      </w:r>
      <w:r>
        <w:rPr>
          <w:b w:val="0"/>
          <w:bCs w:val="0"/>
          <w:szCs w:val="24"/>
        </w:rPr>
        <w:instrText>FEA</w:instrText>
      </w:r>
      <w:r w:rsidRPr="00F93A6E">
        <w:rPr>
          <w:b w:val="0"/>
          <w:bCs w:val="0"/>
          <w:szCs w:val="24"/>
          <w:lang w:val="ru-RU"/>
        </w:rPr>
        <w:instrText>58026</w:instrText>
      </w:r>
      <w:r>
        <w:rPr>
          <w:b w:val="0"/>
          <w:bCs w:val="0"/>
          <w:szCs w:val="24"/>
        </w:rPr>
        <w:instrText>FBD</w:instrText>
      </w:r>
      <w:r w:rsidRPr="00F93A6E">
        <w:rPr>
          <w:b w:val="0"/>
          <w:bCs w:val="0"/>
          <w:szCs w:val="24"/>
          <w:lang w:val="ru-RU"/>
        </w:rPr>
        <w:instrText>45358</w:instrText>
      </w:r>
      <w:r>
        <w:rPr>
          <w:b w:val="0"/>
          <w:bCs w:val="0"/>
          <w:szCs w:val="24"/>
        </w:rPr>
        <w:instrText>E</w:instrText>
      </w:r>
      <w:r w:rsidRPr="00F93A6E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F93A6E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C</w:instrText>
      </w:r>
      <w:r w:rsidRPr="00F93A6E">
        <w:rPr>
          <w:b w:val="0"/>
          <w:bCs w:val="0"/>
          <w:szCs w:val="24"/>
          <w:lang w:val="ru-RU"/>
        </w:rPr>
        <w:instrText>9598</w:instrText>
      </w:r>
      <w:r>
        <w:rPr>
          <w:b w:val="0"/>
          <w:bCs w:val="0"/>
          <w:szCs w:val="24"/>
        </w:rPr>
        <w:instrText>CCAL</w:instrText>
      </w:r>
      <w:r w:rsidRPr="00F93A6E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H</w:instrText>
      </w:r>
      <w:r w:rsidRPr="00F93A6E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F93A6E">
        <w:rPr>
          <w:b w:val="0"/>
          <w:bCs w:val="0"/>
          <w:color w:val="0000FF"/>
          <w:szCs w:val="24"/>
          <w:lang w:val="ru-RU"/>
        </w:rPr>
        <w:t>пунктом 2 статьи 346.20</w:t>
      </w:r>
      <w:r>
        <w:rPr>
          <w:b w:val="0"/>
          <w:bCs w:val="0"/>
          <w:szCs w:val="24"/>
        </w:rPr>
        <w:fldChar w:fldCharType="end"/>
      </w:r>
      <w:r w:rsidRPr="00F93A6E">
        <w:rPr>
          <w:b w:val="0"/>
          <w:bCs w:val="0"/>
          <w:szCs w:val="24"/>
          <w:lang w:val="ru-RU"/>
        </w:rPr>
        <w:t xml:space="preserve"> Налогового кодекса Российской Федерации установить на территории Смоленской области налоговую ставку в размере 5 процентов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 (далее - налогоплательщики), за исключением налогоплательщиков, осуществляющих следующие виды деятельности: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bookmarkStart w:id="1" w:name="Par20"/>
      <w:bookmarkEnd w:id="1"/>
      <w:proofErr w:type="gramStart"/>
      <w:r w:rsidRPr="00F93A6E">
        <w:rPr>
          <w:b w:val="0"/>
          <w:bCs w:val="0"/>
          <w:szCs w:val="24"/>
          <w:lang w:val="ru-RU"/>
        </w:rPr>
        <w:t xml:space="preserve">1) включенные в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F93A6E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F93A6E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F93A6E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F93A6E">
        <w:rPr>
          <w:b w:val="0"/>
          <w:bCs w:val="0"/>
          <w:szCs w:val="24"/>
          <w:lang w:val="ru-RU"/>
        </w:rPr>
        <w:instrText>=3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D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FF</w:instrText>
      </w:r>
      <w:r w:rsidRPr="00F93A6E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FBD</w:instrText>
      </w:r>
      <w:r w:rsidRPr="00F93A6E">
        <w:rPr>
          <w:b w:val="0"/>
          <w:bCs w:val="0"/>
          <w:szCs w:val="24"/>
          <w:lang w:val="ru-RU"/>
        </w:rPr>
        <w:instrText>04</w:instrText>
      </w:r>
      <w:r>
        <w:rPr>
          <w:b w:val="0"/>
          <w:bCs w:val="0"/>
          <w:szCs w:val="24"/>
        </w:rPr>
        <w:instrText>B</w:instrText>
      </w:r>
      <w:r w:rsidRPr="00F93A6E">
        <w:rPr>
          <w:b w:val="0"/>
          <w:bCs w:val="0"/>
          <w:szCs w:val="24"/>
          <w:lang w:val="ru-RU"/>
        </w:rPr>
        <w:instrText>3004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878</w:instrText>
      </w:r>
      <w:r>
        <w:rPr>
          <w:b w:val="0"/>
          <w:bCs w:val="0"/>
          <w:szCs w:val="24"/>
        </w:rPr>
        <w:instrText>DA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63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280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0385</w:instrText>
      </w:r>
      <w:r>
        <w:rPr>
          <w:b w:val="0"/>
          <w:bCs w:val="0"/>
          <w:szCs w:val="24"/>
        </w:rPr>
        <w:instrText>BA</w:instrText>
      </w:r>
      <w:r w:rsidRPr="00F93A6E">
        <w:rPr>
          <w:b w:val="0"/>
          <w:bCs w:val="0"/>
          <w:szCs w:val="24"/>
          <w:lang w:val="ru-RU"/>
        </w:rPr>
        <w:instrText>878</w:instrText>
      </w:r>
      <w:r>
        <w:rPr>
          <w:b w:val="0"/>
          <w:bCs w:val="0"/>
          <w:szCs w:val="24"/>
        </w:rPr>
        <w:instrText>F</w:instrText>
      </w:r>
      <w:r w:rsidRPr="00F93A6E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DD</w:instrText>
      </w:r>
      <w:r w:rsidRPr="00F93A6E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F93A6E">
        <w:rPr>
          <w:b w:val="0"/>
          <w:bCs w:val="0"/>
          <w:szCs w:val="24"/>
          <w:lang w:val="ru-RU"/>
        </w:rPr>
        <w:instrText>13</w:instrText>
      </w:r>
      <w:r>
        <w:rPr>
          <w:b w:val="0"/>
          <w:bCs w:val="0"/>
          <w:szCs w:val="24"/>
        </w:rPr>
        <w:instrText>FEA</w:instrText>
      </w:r>
      <w:r w:rsidRPr="00F93A6E">
        <w:rPr>
          <w:b w:val="0"/>
          <w:bCs w:val="0"/>
          <w:szCs w:val="24"/>
          <w:lang w:val="ru-RU"/>
        </w:rPr>
        <w:instrText>58026</w:instrText>
      </w:r>
      <w:r>
        <w:rPr>
          <w:b w:val="0"/>
          <w:bCs w:val="0"/>
          <w:szCs w:val="24"/>
        </w:rPr>
        <w:instrText>FBD</w:instrText>
      </w:r>
      <w:r w:rsidRPr="00F93A6E">
        <w:rPr>
          <w:b w:val="0"/>
          <w:bCs w:val="0"/>
          <w:szCs w:val="24"/>
          <w:lang w:val="ru-RU"/>
        </w:rPr>
        <w:instrText>45358</w:instrText>
      </w:r>
      <w:r>
        <w:rPr>
          <w:b w:val="0"/>
          <w:bCs w:val="0"/>
          <w:szCs w:val="24"/>
        </w:rPr>
        <w:instrText>E</w:instrText>
      </w:r>
      <w:r w:rsidRPr="00F93A6E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F93A6E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CC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EABA</w:instrText>
      </w:r>
      <w:r w:rsidRPr="00F93A6E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C</w:instrText>
      </w:r>
      <w:r w:rsidRPr="00F93A6E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LCH</w:instrText>
      </w:r>
      <w:r w:rsidRPr="00F93A6E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F93A6E">
        <w:rPr>
          <w:b w:val="0"/>
          <w:bCs w:val="0"/>
          <w:color w:val="0000FF"/>
          <w:szCs w:val="24"/>
          <w:lang w:val="ru-RU"/>
        </w:rPr>
        <w:t>подкласс 50.5</w:t>
      </w:r>
      <w:r>
        <w:rPr>
          <w:b w:val="0"/>
          <w:bCs w:val="0"/>
          <w:szCs w:val="24"/>
        </w:rPr>
        <w:fldChar w:fldCharType="end"/>
      </w:r>
      <w:r w:rsidRPr="00F93A6E">
        <w:rPr>
          <w:b w:val="0"/>
          <w:bCs w:val="0"/>
          <w:szCs w:val="24"/>
          <w:lang w:val="ru-RU"/>
        </w:rPr>
        <w:t xml:space="preserve"> "Розничная торговля моторным топливом" класса 50 "Торговля автотранспортными средствами и мотоциклами, их техническое обслуживание и ремонт" раздела </w:t>
      </w:r>
      <w:r>
        <w:rPr>
          <w:b w:val="0"/>
          <w:bCs w:val="0"/>
          <w:szCs w:val="24"/>
        </w:rPr>
        <w:t>G</w:t>
      </w:r>
      <w:r w:rsidRPr="00F93A6E">
        <w:rPr>
          <w:b w:val="0"/>
          <w:bCs w:val="0"/>
          <w:szCs w:val="24"/>
          <w:lang w:val="ru-RU"/>
        </w:rPr>
        <w:t xml:space="preserve">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</w:t>
      </w:r>
      <w:r>
        <w:rPr>
          <w:b w:val="0"/>
          <w:bCs w:val="0"/>
          <w:szCs w:val="24"/>
        </w:rPr>
        <w:t>N</w:t>
      </w:r>
      <w:r w:rsidRPr="00F93A6E">
        <w:rPr>
          <w:b w:val="0"/>
          <w:bCs w:val="0"/>
          <w:szCs w:val="24"/>
          <w:lang w:val="ru-RU"/>
        </w:rPr>
        <w:t xml:space="preserve"> 454-ст (далее - ОКВЭД);</w:t>
      </w:r>
      <w:proofErr w:type="gramEnd"/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F93A6E">
        <w:rPr>
          <w:b w:val="0"/>
          <w:bCs w:val="0"/>
          <w:szCs w:val="24"/>
          <w:lang w:val="ru-RU"/>
        </w:rPr>
        <w:t xml:space="preserve">2) включенные в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F93A6E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F93A6E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F93A6E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F93A6E">
        <w:rPr>
          <w:b w:val="0"/>
          <w:bCs w:val="0"/>
          <w:szCs w:val="24"/>
          <w:lang w:val="ru-RU"/>
        </w:rPr>
        <w:instrText>=3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D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FF</w:instrText>
      </w:r>
      <w:r w:rsidRPr="00F93A6E">
        <w:rPr>
          <w:b w:val="0"/>
          <w:bCs w:val="0"/>
          <w:szCs w:val="24"/>
          <w:lang w:val="ru-RU"/>
        </w:rPr>
        <w:instrText>9</w:instrText>
      </w:r>
      <w:r>
        <w:rPr>
          <w:b w:val="0"/>
          <w:bCs w:val="0"/>
          <w:szCs w:val="24"/>
        </w:rPr>
        <w:instrText>FBD</w:instrText>
      </w:r>
      <w:r w:rsidRPr="00F93A6E">
        <w:rPr>
          <w:b w:val="0"/>
          <w:bCs w:val="0"/>
          <w:szCs w:val="24"/>
          <w:lang w:val="ru-RU"/>
        </w:rPr>
        <w:instrText>04</w:instrText>
      </w:r>
      <w:r>
        <w:rPr>
          <w:b w:val="0"/>
          <w:bCs w:val="0"/>
          <w:szCs w:val="24"/>
        </w:rPr>
        <w:instrText>B</w:instrText>
      </w:r>
      <w:r w:rsidRPr="00F93A6E">
        <w:rPr>
          <w:b w:val="0"/>
          <w:bCs w:val="0"/>
          <w:szCs w:val="24"/>
          <w:lang w:val="ru-RU"/>
        </w:rPr>
        <w:instrText>3004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878</w:instrText>
      </w:r>
      <w:r>
        <w:rPr>
          <w:b w:val="0"/>
          <w:bCs w:val="0"/>
          <w:szCs w:val="24"/>
        </w:rPr>
        <w:instrText>DA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63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280</w:instrText>
      </w:r>
      <w:r>
        <w:rPr>
          <w:b w:val="0"/>
          <w:bCs w:val="0"/>
          <w:szCs w:val="24"/>
        </w:rPr>
        <w:instrText>A</w:instrText>
      </w:r>
      <w:r w:rsidRPr="00F93A6E">
        <w:rPr>
          <w:b w:val="0"/>
          <w:bCs w:val="0"/>
          <w:szCs w:val="24"/>
          <w:lang w:val="ru-RU"/>
        </w:rPr>
        <w:instrText>0385</w:instrText>
      </w:r>
      <w:r>
        <w:rPr>
          <w:b w:val="0"/>
          <w:bCs w:val="0"/>
          <w:szCs w:val="24"/>
        </w:rPr>
        <w:instrText>BA</w:instrText>
      </w:r>
      <w:r w:rsidRPr="00F93A6E">
        <w:rPr>
          <w:b w:val="0"/>
          <w:bCs w:val="0"/>
          <w:szCs w:val="24"/>
          <w:lang w:val="ru-RU"/>
        </w:rPr>
        <w:instrText>878</w:instrText>
      </w:r>
      <w:r>
        <w:rPr>
          <w:b w:val="0"/>
          <w:bCs w:val="0"/>
          <w:szCs w:val="24"/>
        </w:rPr>
        <w:instrText>F</w:instrText>
      </w:r>
      <w:r w:rsidRPr="00F93A6E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DD</w:instrText>
      </w:r>
      <w:r w:rsidRPr="00F93A6E">
        <w:rPr>
          <w:b w:val="0"/>
          <w:bCs w:val="0"/>
          <w:szCs w:val="24"/>
          <w:lang w:val="ru-RU"/>
        </w:rPr>
        <w:instrText>2</w:instrText>
      </w:r>
      <w:r>
        <w:rPr>
          <w:b w:val="0"/>
          <w:bCs w:val="0"/>
          <w:szCs w:val="24"/>
        </w:rPr>
        <w:instrText>F</w:instrText>
      </w:r>
      <w:r w:rsidRPr="00F93A6E">
        <w:rPr>
          <w:b w:val="0"/>
          <w:bCs w:val="0"/>
          <w:szCs w:val="24"/>
          <w:lang w:val="ru-RU"/>
        </w:rPr>
        <w:instrText>13</w:instrText>
      </w:r>
      <w:r>
        <w:rPr>
          <w:b w:val="0"/>
          <w:bCs w:val="0"/>
          <w:szCs w:val="24"/>
        </w:rPr>
        <w:instrText>FEA</w:instrText>
      </w:r>
      <w:r w:rsidRPr="00F93A6E">
        <w:rPr>
          <w:b w:val="0"/>
          <w:bCs w:val="0"/>
          <w:szCs w:val="24"/>
          <w:lang w:val="ru-RU"/>
        </w:rPr>
        <w:instrText>58026</w:instrText>
      </w:r>
      <w:r>
        <w:rPr>
          <w:b w:val="0"/>
          <w:bCs w:val="0"/>
          <w:szCs w:val="24"/>
        </w:rPr>
        <w:instrText>FBD</w:instrText>
      </w:r>
      <w:r w:rsidRPr="00F93A6E">
        <w:rPr>
          <w:b w:val="0"/>
          <w:bCs w:val="0"/>
          <w:szCs w:val="24"/>
          <w:lang w:val="ru-RU"/>
        </w:rPr>
        <w:instrText>45358</w:instrText>
      </w:r>
      <w:r>
        <w:rPr>
          <w:b w:val="0"/>
          <w:bCs w:val="0"/>
          <w:szCs w:val="24"/>
        </w:rPr>
        <w:instrText>E</w:instrText>
      </w:r>
      <w:r w:rsidRPr="00F93A6E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F93A6E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CC</w:instrText>
      </w:r>
      <w:r w:rsidRPr="00F93A6E">
        <w:rPr>
          <w:b w:val="0"/>
          <w:bCs w:val="0"/>
          <w:szCs w:val="24"/>
          <w:lang w:val="ru-RU"/>
        </w:rPr>
        <w:instrText>5</w:instrText>
      </w:r>
      <w:r>
        <w:rPr>
          <w:b w:val="0"/>
          <w:bCs w:val="0"/>
          <w:szCs w:val="24"/>
        </w:rPr>
        <w:instrText>B</w:instrText>
      </w:r>
      <w:r w:rsidRPr="00F93A6E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BAFA</w:instrText>
      </w:r>
      <w:r w:rsidRPr="00F93A6E">
        <w:rPr>
          <w:b w:val="0"/>
          <w:bCs w:val="0"/>
          <w:szCs w:val="24"/>
          <w:lang w:val="ru-RU"/>
        </w:rPr>
        <w:instrText>4</w:instrText>
      </w:r>
      <w:r>
        <w:rPr>
          <w:b w:val="0"/>
          <w:bCs w:val="0"/>
          <w:szCs w:val="24"/>
        </w:rPr>
        <w:instrText>C</w:instrText>
      </w:r>
      <w:r w:rsidRPr="00F93A6E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LCH</w:instrText>
      </w:r>
      <w:r w:rsidRPr="00F93A6E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F93A6E">
        <w:rPr>
          <w:b w:val="0"/>
          <w:bCs w:val="0"/>
          <w:color w:val="0000FF"/>
          <w:szCs w:val="24"/>
          <w:lang w:val="ru-RU"/>
        </w:rPr>
        <w:t>подгруппу 51.51.2</w:t>
      </w:r>
      <w:r>
        <w:rPr>
          <w:b w:val="0"/>
          <w:bCs w:val="0"/>
          <w:szCs w:val="24"/>
        </w:rPr>
        <w:fldChar w:fldCharType="end"/>
      </w:r>
      <w:r w:rsidRPr="00F93A6E">
        <w:rPr>
          <w:b w:val="0"/>
          <w:bCs w:val="0"/>
          <w:szCs w:val="24"/>
          <w:lang w:val="ru-RU"/>
        </w:rPr>
        <w:t xml:space="preserve">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</w:t>
      </w:r>
      <w:r>
        <w:rPr>
          <w:b w:val="0"/>
          <w:bCs w:val="0"/>
          <w:szCs w:val="24"/>
        </w:rPr>
        <w:t>G</w:t>
      </w:r>
      <w:r w:rsidRPr="00F93A6E">
        <w:rPr>
          <w:b w:val="0"/>
          <w:bCs w:val="0"/>
          <w:szCs w:val="24"/>
          <w:lang w:val="ru-RU"/>
        </w:rPr>
        <w:t xml:space="preserve"> "Оптовая и розничная торговля; ремонт автотранспортных средств, мотоциклов, бытовых изделий и предметов личного пользования" ОКВЭД;</w:t>
      </w:r>
      <w:proofErr w:type="gramEnd"/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bookmarkStart w:id="2" w:name="Par22"/>
      <w:bookmarkEnd w:id="2"/>
      <w:r w:rsidRPr="00F93A6E">
        <w:rPr>
          <w:b w:val="0"/>
          <w:bCs w:val="0"/>
          <w:szCs w:val="24"/>
          <w:lang w:val="ru-RU"/>
        </w:rPr>
        <w:t xml:space="preserve">3) включенные в </w:t>
      </w:r>
      <w:hyperlink r:id="rId5" w:history="1">
        <w:r w:rsidRPr="00F93A6E">
          <w:rPr>
            <w:b w:val="0"/>
            <w:bCs w:val="0"/>
            <w:color w:val="0000FF"/>
            <w:szCs w:val="24"/>
            <w:lang w:val="ru-RU"/>
          </w:rPr>
          <w:t>группу 92.71</w:t>
        </w:r>
      </w:hyperlink>
      <w:r w:rsidRPr="00F93A6E">
        <w:rPr>
          <w:b w:val="0"/>
          <w:bCs w:val="0"/>
          <w:szCs w:val="24"/>
          <w:lang w:val="ru-RU"/>
        </w:rPr>
        <w:t xml:space="preserve">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</w:t>
      </w:r>
      <w:r w:rsidRPr="00F93A6E">
        <w:rPr>
          <w:b w:val="0"/>
          <w:bCs w:val="0"/>
          <w:szCs w:val="24"/>
          <w:lang w:val="ru-RU"/>
        </w:rPr>
        <w:lastRenderedPageBreak/>
        <w:t xml:space="preserve">и развлечений, культуры и спорта" раздела </w:t>
      </w:r>
      <w:r>
        <w:rPr>
          <w:b w:val="0"/>
          <w:bCs w:val="0"/>
          <w:szCs w:val="24"/>
        </w:rPr>
        <w:t>O</w:t>
      </w:r>
      <w:r w:rsidRPr="00F93A6E">
        <w:rPr>
          <w:b w:val="0"/>
          <w:bCs w:val="0"/>
          <w:szCs w:val="24"/>
          <w:lang w:val="ru-RU"/>
        </w:rPr>
        <w:t xml:space="preserve"> "Предоставление прочих коммунальных, социальных и персональных услуг" ОКВЭД.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 xml:space="preserve">2. Налогоплательщики, осуществляющие виды деятельности, указанные в </w:t>
      </w:r>
      <w:hyperlink w:anchor="Par20" w:history="1">
        <w:r w:rsidRPr="00F93A6E">
          <w:rPr>
            <w:b w:val="0"/>
            <w:bCs w:val="0"/>
            <w:color w:val="0000FF"/>
            <w:szCs w:val="24"/>
            <w:lang w:val="ru-RU"/>
          </w:rPr>
          <w:t>пунктах 1</w:t>
        </w:r>
      </w:hyperlink>
      <w:r w:rsidRPr="00F93A6E">
        <w:rPr>
          <w:b w:val="0"/>
          <w:bCs w:val="0"/>
          <w:szCs w:val="24"/>
          <w:lang w:val="ru-RU"/>
        </w:rPr>
        <w:t xml:space="preserve"> - </w:t>
      </w:r>
      <w:hyperlink w:anchor="Par22" w:history="1">
        <w:r w:rsidRPr="00F93A6E">
          <w:rPr>
            <w:b w:val="0"/>
            <w:bCs w:val="0"/>
            <w:color w:val="0000FF"/>
            <w:szCs w:val="24"/>
            <w:lang w:val="ru-RU"/>
          </w:rPr>
          <w:t>3 части 1</w:t>
        </w:r>
      </w:hyperlink>
      <w:r w:rsidRPr="00F93A6E">
        <w:rPr>
          <w:b w:val="0"/>
          <w:bCs w:val="0"/>
          <w:szCs w:val="24"/>
          <w:lang w:val="ru-RU"/>
        </w:rPr>
        <w:t xml:space="preserve"> настоящей статьи, применяют налоговую ставку, установленную </w:t>
      </w:r>
      <w:hyperlink r:id="rId6" w:history="1">
        <w:r w:rsidRPr="00F93A6E">
          <w:rPr>
            <w:b w:val="0"/>
            <w:bCs w:val="0"/>
            <w:color w:val="0000FF"/>
            <w:szCs w:val="24"/>
            <w:lang w:val="ru-RU"/>
          </w:rPr>
          <w:t>пунктом 2 статьи 346.20</w:t>
        </w:r>
      </w:hyperlink>
      <w:r w:rsidRPr="00F93A6E">
        <w:rPr>
          <w:b w:val="0"/>
          <w:bCs w:val="0"/>
          <w:szCs w:val="24"/>
          <w:lang w:val="ru-RU"/>
        </w:rPr>
        <w:t xml:space="preserve"> Налогового кодекса Российской Федерации.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25"/>
      <w:bookmarkEnd w:id="3"/>
      <w:r w:rsidRPr="00F93A6E">
        <w:rPr>
          <w:b w:val="0"/>
          <w:bCs w:val="0"/>
          <w:szCs w:val="24"/>
          <w:lang w:val="ru-RU"/>
        </w:rPr>
        <w:t>Статья 2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Губернатор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Смоленской области</w:t>
      </w:r>
    </w:p>
    <w:p w:rsidR="00F93A6E" w:rsidRPr="00F93A6E" w:rsidRDefault="00F93A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F93A6E">
        <w:rPr>
          <w:b w:val="0"/>
          <w:bCs w:val="0"/>
          <w:szCs w:val="24"/>
          <w:lang w:val="ru-RU"/>
        </w:rPr>
        <w:t>С.В.АНТУФЬЕВ</w:t>
      </w: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30 </w:t>
      </w:r>
      <w:proofErr w:type="spellStart"/>
      <w:r>
        <w:rPr>
          <w:b w:val="0"/>
          <w:bCs w:val="0"/>
          <w:szCs w:val="24"/>
        </w:rPr>
        <w:t>апреля</w:t>
      </w:r>
      <w:proofErr w:type="spellEnd"/>
      <w:r>
        <w:rPr>
          <w:b w:val="0"/>
          <w:bCs w:val="0"/>
          <w:szCs w:val="24"/>
        </w:rPr>
        <w:t xml:space="preserve"> 2009 </w:t>
      </w:r>
      <w:proofErr w:type="spellStart"/>
      <w:r>
        <w:rPr>
          <w:b w:val="0"/>
          <w:bCs w:val="0"/>
          <w:szCs w:val="24"/>
        </w:rPr>
        <w:t>года</w:t>
      </w:r>
      <w:proofErr w:type="spellEnd"/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32-з</w:t>
      </w: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</w:p>
    <w:p w:rsidR="00F93A6E" w:rsidRDefault="00F93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</w:rPr>
      </w:pPr>
    </w:p>
    <w:p w:rsidR="00F93A6E" w:rsidRDefault="00F93A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E556D7" w:rsidRDefault="00E556D7"/>
    <w:sectPr w:rsidR="00E556D7" w:rsidSect="00A8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3A6E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A6E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D5FF9FBD04B3004A878DA5A63A280A0395FA279F2DD2F13FEA58026FBD45358E1C8C9598CCAL8H" TargetMode="External"/><Relationship Id="rId5" Type="http://schemas.openxmlformats.org/officeDocument/2006/relationships/hyperlink" Target="consultantplus://offline/ref=3A9D5FF9FBD04B3004A878DA5A63A280A0385BA878F6DD2F13FEA58026FBD45358E1C8CC5A8CADA1C7LD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2015-04-08T07:11:00Z</dcterms:created>
  <dcterms:modified xsi:type="dcterms:W3CDTF">2015-04-08T07:11:00Z</dcterms:modified>
</cp:coreProperties>
</file>