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56" w:rsidRPr="00405856" w:rsidRDefault="00405856" w:rsidP="0040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6">
        <w:rPr>
          <w:rFonts w:ascii="Times New Roman" w:hAnsi="Times New Roman" w:cs="Times New Roman"/>
          <w:b/>
          <w:sz w:val="28"/>
          <w:szCs w:val="28"/>
        </w:rPr>
        <w:t xml:space="preserve">Государственная итоговая аттестация </w:t>
      </w:r>
    </w:p>
    <w:p w:rsidR="00936E3C" w:rsidRDefault="00405856" w:rsidP="0040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6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общего образования</w:t>
      </w:r>
      <w:r w:rsidR="00791A12">
        <w:rPr>
          <w:rFonts w:ascii="Times New Roman" w:hAnsi="Times New Roman" w:cs="Times New Roman"/>
          <w:b/>
          <w:sz w:val="28"/>
          <w:szCs w:val="28"/>
        </w:rPr>
        <w:t xml:space="preserve"> в 2014 г.</w:t>
      </w:r>
    </w:p>
    <w:p w:rsidR="00B27745" w:rsidRDefault="00B27745" w:rsidP="00B2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745" w:rsidRDefault="00B27745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аттестации выпускников 11-х классов 2014 года проходила в форме единого государственного экзамена (ЕГЭ). 57 выпускников</w:t>
      </w:r>
      <w:r w:rsidR="0094492A">
        <w:rPr>
          <w:rFonts w:ascii="Times New Roman" w:hAnsi="Times New Roman" w:cs="Times New Roman"/>
          <w:sz w:val="28"/>
          <w:szCs w:val="28"/>
        </w:rPr>
        <w:t xml:space="preserve"> из</w:t>
      </w:r>
      <w:r w:rsidR="002847F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-х общеобразовательных школ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сдавали единый государственный экзамен с мая по июнь 2014 года. </w:t>
      </w:r>
    </w:p>
    <w:p w:rsidR="0094492A" w:rsidRDefault="0094492A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функционировал один пункт проведения экзаменов – ППЭ № 12. </w:t>
      </w:r>
      <w:r w:rsidR="000E72FB">
        <w:rPr>
          <w:rFonts w:ascii="Times New Roman" w:hAnsi="Times New Roman" w:cs="Times New Roman"/>
          <w:sz w:val="28"/>
          <w:szCs w:val="28"/>
        </w:rPr>
        <w:t xml:space="preserve">Процедура проведения единого государственного экзамена осуществлялась согласно новому Порядку </w:t>
      </w:r>
      <w:r w:rsidR="000E72FB" w:rsidRPr="00D7324D">
        <w:rPr>
          <w:rFonts w:ascii="Times New Roman" w:hAnsi="Times New Roman" w:cs="Times New Roman"/>
          <w:sz w:val="28"/>
          <w:szCs w:val="28"/>
        </w:rPr>
        <w:t>проведения госуд</w:t>
      </w:r>
      <w:r w:rsidR="000E72FB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="000E72FB" w:rsidRPr="00D7324D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  <w:r w:rsidR="000E72FB">
        <w:rPr>
          <w:rFonts w:ascii="Times New Roman" w:hAnsi="Times New Roman" w:cs="Times New Roman"/>
          <w:sz w:val="28"/>
          <w:szCs w:val="28"/>
        </w:rPr>
        <w:t>, действующим инструкциям. Согласно Порядку проведения итоговой аттестации для сдающих ЕГЭ ввелся полный запрет на наличие мобильного телефона и других сре</w:t>
      </w:r>
      <w:proofErr w:type="gramStart"/>
      <w:r w:rsidR="000E72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E72FB">
        <w:rPr>
          <w:rFonts w:ascii="Times New Roman" w:hAnsi="Times New Roman" w:cs="Times New Roman"/>
          <w:sz w:val="28"/>
          <w:szCs w:val="28"/>
        </w:rPr>
        <w:t>язи</w:t>
      </w:r>
      <w:r w:rsidR="006C1FDC">
        <w:rPr>
          <w:rFonts w:ascii="Times New Roman" w:hAnsi="Times New Roman" w:cs="Times New Roman"/>
          <w:sz w:val="28"/>
          <w:szCs w:val="28"/>
        </w:rPr>
        <w:t xml:space="preserve">. Для обнаружения использовались 2 </w:t>
      </w:r>
      <w:proofErr w:type="gramStart"/>
      <w:r w:rsidR="006C1FDC">
        <w:rPr>
          <w:rFonts w:ascii="Times New Roman" w:hAnsi="Times New Roman" w:cs="Times New Roman"/>
          <w:sz w:val="28"/>
          <w:szCs w:val="28"/>
        </w:rPr>
        <w:t>ручных</w:t>
      </w:r>
      <w:proofErr w:type="gramEnd"/>
      <w:r w:rsidR="006C1FDC">
        <w:rPr>
          <w:rFonts w:ascii="Times New Roman" w:hAnsi="Times New Roman" w:cs="Times New Roman"/>
          <w:sz w:val="28"/>
          <w:szCs w:val="28"/>
        </w:rPr>
        <w:t xml:space="preserve"> металлоискателя.  На пункте проведения экзамена было организовано видеонаблюдение: в 4-х аудит</w:t>
      </w:r>
      <w:r w:rsidR="005E4AF4">
        <w:rPr>
          <w:rFonts w:ascii="Times New Roman" w:hAnsi="Times New Roman" w:cs="Times New Roman"/>
          <w:sz w:val="28"/>
          <w:szCs w:val="28"/>
        </w:rPr>
        <w:t xml:space="preserve">ориях </w:t>
      </w:r>
      <w:r w:rsidR="006C1FDC">
        <w:rPr>
          <w:rFonts w:ascii="Times New Roman" w:hAnsi="Times New Roman" w:cs="Times New Roman"/>
          <w:sz w:val="28"/>
          <w:szCs w:val="28"/>
        </w:rPr>
        <w:t xml:space="preserve">и в штабе ППЭ. </w:t>
      </w:r>
      <w:r w:rsidR="00FF08F7">
        <w:rPr>
          <w:rFonts w:ascii="Times New Roman" w:hAnsi="Times New Roman" w:cs="Times New Roman"/>
          <w:sz w:val="28"/>
          <w:szCs w:val="28"/>
        </w:rPr>
        <w:t>Для организации работы ППЭ были задействованы</w:t>
      </w:r>
      <w:r w:rsidR="007C6157">
        <w:rPr>
          <w:rFonts w:ascii="Times New Roman" w:hAnsi="Times New Roman" w:cs="Times New Roman"/>
          <w:sz w:val="28"/>
          <w:szCs w:val="28"/>
        </w:rPr>
        <w:t xml:space="preserve"> 30 работников системы образования, прошедших соответствующий инструктаж. На пункте проведения экзамена</w:t>
      </w:r>
      <w:r w:rsidR="00147EE3">
        <w:rPr>
          <w:rFonts w:ascii="Times New Roman" w:hAnsi="Times New Roman" w:cs="Times New Roman"/>
          <w:sz w:val="28"/>
          <w:szCs w:val="28"/>
        </w:rPr>
        <w:t xml:space="preserve"> </w:t>
      </w:r>
      <w:r w:rsidR="007C6157">
        <w:rPr>
          <w:rFonts w:ascii="Times New Roman" w:hAnsi="Times New Roman" w:cs="Times New Roman"/>
          <w:sz w:val="28"/>
          <w:szCs w:val="28"/>
        </w:rPr>
        <w:t xml:space="preserve">присутствовал общественный наблюдатель. 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экзамен в 2014 году проводился по 11 общеобразовательным предметам: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язык, математика (обязательные экзамены);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литература, английский язык, немецкий язык, физика, информатика, биология, химия, история, обществознание (экзамены по выбору).</w:t>
      </w:r>
      <w:proofErr w:type="gramEnd"/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сдачи экзаменов по литературе и обществознанию была организована доставка выпу</w:t>
      </w:r>
      <w:r w:rsidR="00241502">
        <w:rPr>
          <w:rFonts w:ascii="Times New Roman" w:hAnsi="Times New Roman" w:cs="Times New Roman"/>
          <w:sz w:val="28"/>
          <w:szCs w:val="28"/>
        </w:rPr>
        <w:t xml:space="preserve">скников в ППЭ № 18 (п. </w:t>
      </w:r>
      <w:proofErr w:type="spellStart"/>
      <w:r w:rsidR="00241502">
        <w:rPr>
          <w:rFonts w:ascii="Times New Roman" w:hAnsi="Times New Roman" w:cs="Times New Roman"/>
          <w:sz w:val="28"/>
          <w:szCs w:val="28"/>
        </w:rPr>
        <w:t>Шаталово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</w:t>
      </w:r>
    </w:p>
    <w:p w:rsidR="00256EDD" w:rsidRDefault="00256EDD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выпускников, сдававших ЕГЭ за 3 года по предметам отражено в таблице: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256EDD" w:rsidTr="00256EDD">
        <w:trPr>
          <w:jc w:val="center"/>
        </w:trPr>
        <w:tc>
          <w:tcPr>
            <w:tcW w:w="675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914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914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915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</w:tr>
      <w:tr w:rsidR="00256EDD" w:rsidTr="00256EDD">
        <w:trPr>
          <w:jc w:val="center"/>
        </w:trPr>
        <w:tc>
          <w:tcPr>
            <w:tcW w:w="675" w:type="dxa"/>
          </w:tcPr>
          <w:p w:rsidR="00256EDD" w:rsidRDefault="007C62C3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56EDD" w:rsidRDefault="007C62C3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256EDD" w:rsidRDefault="007C62C3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256EDD" w:rsidRDefault="007C62C3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5" w:type="dxa"/>
          </w:tcPr>
          <w:p w:rsidR="00256EDD" w:rsidRDefault="007C62C3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607B" w:rsidTr="00256EDD">
        <w:trPr>
          <w:jc w:val="center"/>
        </w:trPr>
        <w:tc>
          <w:tcPr>
            <w:tcW w:w="67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5" w:type="dxa"/>
          </w:tcPr>
          <w:p w:rsidR="00B9607B" w:rsidRDefault="00B9607B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256EDD" w:rsidRDefault="00256EDD" w:rsidP="00256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6BE" w:rsidRDefault="005C6158" w:rsidP="005C6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выпускников при сдаче ЕГЭ в 2014 г. по русскому языку и математике составила 100 %. В этом году минимальное количество баллов, </w:t>
      </w:r>
      <w:r w:rsidRPr="005C6158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proofErr w:type="spellStart"/>
      <w:r w:rsidRPr="005C6158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3C6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составило 24 балла, по математике – 20.</w:t>
      </w:r>
      <w:r w:rsidR="003C6918">
        <w:rPr>
          <w:rFonts w:ascii="Times New Roman" w:hAnsi="Times New Roman" w:cs="Times New Roman"/>
          <w:sz w:val="28"/>
          <w:szCs w:val="28"/>
        </w:rPr>
        <w:t xml:space="preserve"> Это позволило всем выпускникам сдать </w:t>
      </w:r>
      <w:r w:rsidR="00BC46BE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3C6918">
        <w:rPr>
          <w:rFonts w:ascii="Times New Roman" w:hAnsi="Times New Roman" w:cs="Times New Roman"/>
          <w:sz w:val="28"/>
          <w:szCs w:val="28"/>
        </w:rPr>
        <w:t xml:space="preserve">экзамены на положительный результат. </w:t>
      </w:r>
    </w:p>
    <w:p w:rsidR="005C6158" w:rsidRDefault="003C6918" w:rsidP="005C6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5E4AF4">
        <w:rPr>
          <w:rFonts w:ascii="Times New Roman" w:hAnsi="Times New Roman" w:cs="Times New Roman"/>
          <w:sz w:val="28"/>
          <w:szCs w:val="28"/>
        </w:rPr>
        <w:t xml:space="preserve">обязательных экзаменов </w:t>
      </w:r>
      <w:r>
        <w:rPr>
          <w:rFonts w:ascii="Times New Roman" w:hAnsi="Times New Roman" w:cs="Times New Roman"/>
          <w:sz w:val="28"/>
          <w:szCs w:val="28"/>
        </w:rPr>
        <w:t>по району составил:</w:t>
      </w:r>
    </w:p>
    <w:p w:rsidR="003C6918" w:rsidRDefault="003C6918" w:rsidP="003C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– 63,96 (увеличился по сравнению с 2013 годом на 2,1 %);</w:t>
      </w:r>
    </w:p>
    <w:p w:rsidR="003C6918" w:rsidRDefault="003C6918" w:rsidP="003C6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– 40,66 (уменьшился по сравнению с 2013 годом на</w:t>
      </w:r>
      <w:r w:rsidR="005E4AF4">
        <w:rPr>
          <w:rFonts w:ascii="Times New Roman" w:hAnsi="Times New Roman" w:cs="Times New Roman"/>
          <w:sz w:val="28"/>
          <w:szCs w:val="28"/>
        </w:rPr>
        <w:t xml:space="preserve"> 0,82 %).</w:t>
      </w:r>
    </w:p>
    <w:p w:rsidR="005E4AF4" w:rsidRDefault="005E4AF4" w:rsidP="005E4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результаты на ЕГЭ показали обучающиеся по русскому языку: 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4">
        <w:rPr>
          <w:rFonts w:ascii="Times New Roman" w:hAnsi="Times New Roman" w:cs="Times New Roman"/>
          <w:sz w:val="28"/>
          <w:szCs w:val="28"/>
        </w:rPr>
        <w:t xml:space="preserve">Анастасия Васильевна – 92 балла,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1 им. М.И. Глинки,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Шпентенков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Кирилл Евгеньевич – 92 балла,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>,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3) Леонова Дария Александровна – 87 баллов,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>,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4) Чижова Юлия Александровна – 84 балла,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школа,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Володченкова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Мария Сергеевна – 82 балла,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>,</w:t>
      </w:r>
    </w:p>
    <w:p w:rsidR="005E4AF4" w:rsidRP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Джурко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Иван Сергеевич – 82 балла, МБОУ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>,</w:t>
      </w:r>
    </w:p>
    <w:p w:rsidR="005E4AF4" w:rsidRDefault="005E4AF4" w:rsidP="005E4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F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Ульяненкова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Ксения Александровна – 82 балла,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5E4AF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5E4AF4">
        <w:rPr>
          <w:rFonts w:ascii="Times New Roman" w:hAnsi="Times New Roman" w:cs="Times New Roman"/>
          <w:sz w:val="28"/>
          <w:szCs w:val="28"/>
        </w:rPr>
        <w:t>.</w:t>
      </w:r>
    </w:p>
    <w:p w:rsidR="00BC46BE" w:rsidRDefault="00BC46BE" w:rsidP="00BC4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математике набрали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C46BE" w:rsidRDefault="00BC46BE" w:rsidP="00B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8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585">
        <w:rPr>
          <w:rFonts w:ascii="Times New Roman" w:hAnsi="Times New Roman" w:cs="Times New Roman"/>
          <w:sz w:val="28"/>
          <w:szCs w:val="28"/>
        </w:rPr>
        <w:t xml:space="preserve">Леонова </w:t>
      </w:r>
      <w:r>
        <w:rPr>
          <w:rFonts w:ascii="Times New Roman" w:hAnsi="Times New Roman" w:cs="Times New Roman"/>
          <w:sz w:val="28"/>
          <w:szCs w:val="28"/>
        </w:rPr>
        <w:t xml:space="preserve">Дария Александровна – 75 баллов, </w:t>
      </w:r>
      <w:r w:rsidRPr="00CF1585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2 </w:t>
      </w:r>
      <w:r w:rsidRPr="00CF1585">
        <w:rPr>
          <w:rFonts w:ascii="Times New Roman" w:hAnsi="Times New Roman" w:cs="Times New Roman"/>
          <w:sz w:val="28"/>
          <w:szCs w:val="28"/>
        </w:rPr>
        <w:t xml:space="preserve">им. К.И. </w:t>
      </w:r>
      <w:proofErr w:type="spellStart"/>
      <w:r w:rsidRPr="00CF1585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46BE" w:rsidRDefault="00BC46BE" w:rsidP="00B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Козлова Дарья Михайловна – 64 балла, </w:t>
      </w:r>
      <w:r w:rsidRPr="00CF158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F1585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CF1585">
        <w:rPr>
          <w:rFonts w:ascii="Times New Roman" w:hAnsi="Times New Roman" w:cs="Times New Roman"/>
          <w:sz w:val="28"/>
          <w:szCs w:val="28"/>
        </w:rPr>
        <w:t xml:space="preserve"> средняя школа № 2 им. К.И. </w:t>
      </w:r>
      <w:proofErr w:type="spellStart"/>
      <w:r w:rsidRPr="00CF1585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CF1585">
        <w:rPr>
          <w:rFonts w:ascii="Times New Roman" w:hAnsi="Times New Roman" w:cs="Times New Roman"/>
          <w:sz w:val="28"/>
          <w:szCs w:val="28"/>
        </w:rPr>
        <w:t>,</w:t>
      </w:r>
    </w:p>
    <w:p w:rsidR="00BC46BE" w:rsidRDefault="00BC46BE" w:rsidP="00B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Новиков Максим Александрович – 64 балла, </w:t>
      </w:r>
      <w:r w:rsidRPr="00A2524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2524F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A2524F">
        <w:rPr>
          <w:rFonts w:ascii="Times New Roman" w:hAnsi="Times New Roman" w:cs="Times New Roman"/>
          <w:sz w:val="28"/>
          <w:szCs w:val="28"/>
        </w:rPr>
        <w:t xml:space="preserve"> средняя школа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7F2" w:rsidRDefault="001874ED" w:rsidP="00284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обязательных экзаменов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отражены в таблице:</w:t>
      </w: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464"/>
        <w:gridCol w:w="2265"/>
        <w:gridCol w:w="1417"/>
        <w:gridCol w:w="974"/>
        <w:gridCol w:w="986"/>
        <w:gridCol w:w="984"/>
        <w:gridCol w:w="984"/>
        <w:gridCol w:w="1584"/>
      </w:tblGrid>
      <w:tr w:rsidR="001874ED" w:rsidRPr="000A34D1" w:rsidTr="00341EC0">
        <w:trPr>
          <w:trHeight w:val="360"/>
          <w:jc w:val="center"/>
        </w:trPr>
        <w:tc>
          <w:tcPr>
            <w:tcW w:w="1464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309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978" w:type="dxa"/>
            <w:gridSpan w:val="4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0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1874ED" w:rsidRPr="000A34D1" w:rsidTr="00341EC0">
        <w:trPr>
          <w:trHeight w:val="180"/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998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92" w:type="dxa"/>
            <w:gridSpan w:val="2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90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96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90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8" w:type="dxa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59,18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60,38</w:t>
            </w:r>
          </w:p>
        </w:tc>
        <w:tc>
          <w:tcPr>
            <w:tcW w:w="1490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65,67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Павловская средняя школа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Pr="00F01F00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1874ED" w:rsidRPr="00A530FD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1874ED" w:rsidRPr="00A530FD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8" w:type="dxa"/>
          </w:tcPr>
          <w:p w:rsidR="001874ED" w:rsidRPr="00A530FD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6" w:type="dxa"/>
          </w:tcPr>
          <w:p w:rsidR="001874ED" w:rsidRPr="00A530FD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62,36</w:t>
            </w:r>
          </w:p>
        </w:tc>
        <w:tc>
          <w:tcPr>
            <w:tcW w:w="996" w:type="dxa"/>
          </w:tcPr>
          <w:p w:rsidR="001874ED" w:rsidRPr="00A530FD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63,96</w:t>
            </w:r>
          </w:p>
        </w:tc>
        <w:tc>
          <w:tcPr>
            <w:tcW w:w="1490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572BEF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2,1 %</w:t>
            </w: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 w:val="restart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41,88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0" w:type="dxa"/>
            <w:vMerge w:val="restart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44,11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Павловская средняя школа</w:t>
            </w:r>
          </w:p>
        </w:tc>
        <w:tc>
          <w:tcPr>
            <w:tcW w:w="1417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0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341EC0">
        <w:trPr>
          <w:jc w:val="center"/>
        </w:trPr>
        <w:tc>
          <w:tcPr>
            <w:tcW w:w="1464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874ED" w:rsidRPr="00F01F00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1874ED" w:rsidRPr="00A67925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1874ED" w:rsidRPr="00A67925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8" w:type="dxa"/>
          </w:tcPr>
          <w:p w:rsidR="001874ED" w:rsidRPr="00A67925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1874ED" w:rsidRPr="00A67925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>40,66</w:t>
            </w:r>
          </w:p>
        </w:tc>
        <w:tc>
          <w:tcPr>
            <w:tcW w:w="996" w:type="dxa"/>
          </w:tcPr>
          <w:p w:rsidR="001874ED" w:rsidRPr="00A67925" w:rsidRDefault="001874ED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>40,33</w:t>
            </w:r>
          </w:p>
        </w:tc>
        <w:tc>
          <w:tcPr>
            <w:tcW w:w="1490" w:type="dxa"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A67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0,82%</w:t>
            </w:r>
          </w:p>
        </w:tc>
      </w:tr>
    </w:tbl>
    <w:p w:rsidR="001874ED" w:rsidRDefault="001874ED" w:rsidP="0018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E5C" w:rsidRDefault="001874ED" w:rsidP="00187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</w:t>
      </w:r>
      <w:r w:rsidR="00260A66">
        <w:rPr>
          <w:rFonts w:ascii="Times New Roman" w:hAnsi="Times New Roman" w:cs="Times New Roman"/>
          <w:sz w:val="28"/>
          <w:szCs w:val="28"/>
        </w:rPr>
        <w:t xml:space="preserve">ьтатов по русскому языку, по сравнению с 2013 годом, </w:t>
      </w:r>
      <w:r>
        <w:rPr>
          <w:rFonts w:ascii="Times New Roman" w:hAnsi="Times New Roman" w:cs="Times New Roman"/>
          <w:sz w:val="28"/>
          <w:szCs w:val="28"/>
        </w:rPr>
        <w:t>позволяет сделать вывод о</w:t>
      </w:r>
      <w:r w:rsidR="00260A66">
        <w:rPr>
          <w:rFonts w:ascii="Times New Roman" w:hAnsi="Times New Roman" w:cs="Times New Roman"/>
          <w:sz w:val="28"/>
          <w:szCs w:val="28"/>
        </w:rPr>
        <w:t xml:space="preserve"> повышении качества преподавания предмета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0A6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260A66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260A66">
        <w:rPr>
          <w:rFonts w:ascii="Times New Roman" w:hAnsi="Times New Roman" w:cs="Times New Roman"/>
          <w:sz w:val="28"/>
          <w:szCs w:val="28"/>
        </w:rPr>
        <w:t xml:space="preserve"> средней школе № 1 им. М.И. Глинки, МБОУ </w:t>
      </w:r>
      <w:proofErr w:type="spellStart"/>
      <w:r w:rsidR="00260A66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260A66">
        <w:rPr>
          <w:rFonts w:ascii="Times New Roman" w:hAnsi="Times New Roman" w:cs="Times New Roman"/>
          <w:sz w:val="28"/>
          <w:szCs w:val="28"/>
        </w:rPr>
        <w:t xml:space="preserve"> средней школе № 2 им. К.И. </w:t>
      </w:r>
      <w:proofErr w:type="spellStart"/>
      <w:r w:rsidR="00260A66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260A66">
        <w:rPr>
          <w:rFonts w:ascii="Times New Roman" w:hAnsi="Times New Roman" w:cs="Times New Roman"/>
          <w:sz w:val="28"/>
          <w:szCs w:val="28"/>
        </w:rPr>
        <w:t xml:space="preserve"> и МБОУ </w:t>
      </w:r>
      <w:proofErr w:type="spellStart"/>
      <w:r w:rsidR="00260A66">
        <w:rPr>
          <w:rFonts w:ascii="Times New Roman" w:hAnsi="Times New Roman" w:cs="Times New Roman"/>
          <w:sz w:val="28"/>
          <w:szCs w:val="28"/>
        </w:rPr>
        <w:t>К</w:t>
      </w:r>
      <w:r w:rsidR="00895693">
        <w:rPr>
          <w:rFonts w:ascii="Times New Roman" w:hAnsi="Times New Roman" w:cs="Times New Roman"/>
          <w:sz w:val="28"/>
          <w:szCs w:val="28"/>
        </w:rPr>
        <w:t>оробецкой</w:t>
      </w:r>
      <w:proofErr w:type="spellEnd"/>
      <w:r w:rsidR="00895693">
        <w:rPr>
          <w:rFonts w:ascii="Times New Roman" w:hAnsi="Times New Roman" w:cs="Times New Roman"/>
          <w:sz w:val="28"/>
          <w:szCs w:val="28"/>
        </w:rPr>
        <w:t xml:space="preserve"> средней школе. </w:t>
      </w:r>
      <w:r w:rsidR="00085E5C">
        <w:rPr>
          <w:rFonts w:ascii="Times New Roman" w:hAnsi="Times New Roman" w:cs="Times New Roman"/>
          <w:sz w:val="28"/>
          <w:szCs w:val="28"/>
        </w:rPr>
        <w:t>В целом по району с</w:t>
      </w:r>
      <w:r w:rsidR="00085E5C" w:rsidRPr="00085E5C">
        <w:rPr>
          <w:rFonts w:ascii="Times New Roman" w:hAnsi="Times New Roman" w:cs="Times New Roman"/>
          <w:sz w:val="28"/>
          <w:szCs w:val="28"/>
        </w:rPr>
        <w:t>редний балл увеличился на 2,1 %</w:t>
      </w:r>
      <w:r w:rsidR="00085E5C">
        <w:rPr>
          <w:rFonts w:ascii="Times New Roman" w:hAnsi="Times New Roman" w:cs="Times New Roman"/>
          <w:sz w:val="28"/>
          <w:szCs w:val="28"/>
        </w:rPr>
        <w:t xml:space="preserve">. </w:t>
      </w:r>
      <w:r w:rsidR="00895693">
        <w:rPr>
          <w:rFonts w:ascii="Times New Roman" w:hAnsi="Times New Roman" w:cs="Times New Roman"/>
          <w:sz w:val="28"/>
          <w:szCs w:val="28"/>
        </w:rPr>
        <w:t>Результаты</w:t>
      </w:r>
      <w:r w:rsidR="00260A66">
        <w:rPr>
          <w:rFonts w:ascii="Times New Roman" w:hAnsi="Times New Roman" w:cs="Times New Roman"/>
          <w:sz w:val="28"/>
          <w:szCs w:val="28"/>
        </w:rPr>
        <w:t xml:space="preserve"> по математике, по сравнению</w:t>
      </w:r>
      <w:r w:rsidR="00895693">
        <w:rPr>
          <w:rFonts w:ascii="Times New Roman" w:hAnsi="Times New Roman" w:cs="Times New Roman"/>
          <w:sz w:val="28"/>
          <w:szCs w:val="28"/>
        </w:rPr>
        <w:t xml:space="preserve"> с 2013 годом, показывают тенденцию к у</w:t>
      </w:r>
      <w:r w:rsidR="00085E5C">
        <w:rPr>
          <w:rFonts w:ascii="Times New Roman" w:hAnsi="Times New Roman" w:cs="Times New Roman"/>
          <w:sz w:val="28"/>
          <w:szCs w:val="28"/>
        </w:rPr>
        <w:t>величению среднего балла:</w:t>
      </w:r>
    </w:p>
    <w:p w:rsidR="00085E5C" w:rsidRDefault="00085E5C" w:rsidP="00187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средний балл увеличился на 7,67</w:t>
      </w:r>
      <w:r w:rsidR="00206DF0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E5C" w:rsidRDefault="00085E5C" w:rsidP="00187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 3 – на 4,28</w:t>
      </w:r>
      <w:r w:rsidR="00206DF0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DF0" w:rsidRDefault="00085E5C" w:rsidP="00206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0,01</w:t>
      </w:r>
      <w:r w:rsidR="00206DF0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C0" w:rsidRDefault="00206DF0" w:rsidP="00206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средний балл по району уменьшился на 0,82 %</w:t>
      </w:r>
      <w:r w:rsidR="0008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т.к.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 им. М.И. Глинки и МБОУ Павловская средняя школа показали низкие результаты.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 1 средний балл уменьшился на 5,88 балла.</w:t>
      </w:r>
    </w:p>
    <w:p w:rsidR="00341EC0" w:rsidRDefault="00341EC0" w:rsidP="00206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экзаменов по выбору представлены в таблице:</w:t>
      </w:r>
    </w:p>
    <w:p w:rsidR="00341EC0" w:rsidRDefault="00341EC0" w:rsidP="00206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655"/>
        <w:gridCol w:w="2296"/>
        <w:gridCol w:w="1417"/>
        <w:gridCol w:w="914"/>
        <w:gridCol w:w="930"/>
        <w:gridCol w:w="931"/>
        <w:gridCol w:w="931"/>
        <w:gridCol w:w="1584"/>
      </w:tblGrid>
      <w:tr w:rsidR="00341EC0" w:rsidRPr="000A34D1" w:rsidTr="00341EC0">
        <w:trPr>
          <w:trHeight w:val="360"/>
          <w:jc w:val="center"/>
        </w:trPr>
        <w:tc>
          <w:tcPr>
            <w:tcW w:w="1655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6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706" w:type="dxa"/>
            <w:gridSpan w:val="4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4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341EC0" w:rsidRPr="000A34D1" w:rsidTr="00341EC0">
        <w:trPr>
          <w:trHeight w:val="180"/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930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862" w:type="dxa"/>
            <w:gridSpan w:val="2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8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31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8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6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4" w:type="dxa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1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931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770B7B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17,33 %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Pr="00770B7B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70,67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725C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Pr="00725C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341EC0" w:rsidRPr="00725C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341EC0" w:rsidRPr="00725C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931" w:type="dxa"/>
          </w:tcPr>
          <w:p w:rsidR="00341EC0" w:rsidRPr="00725C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13,74 %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35,33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1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44,33</w:t>
            </w:r>
          </w:p>
        </w:tc>
        <w:tc>
          <w:tcPr>
            <w:tcW w:w="931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37,71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14,93 %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31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Pr="00F24447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4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64,25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30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56,92</w:t>
            </w:r>
          </w:p>
        </w:tc>
        <w:tc>
          <w:tcPr>
            <w:tcW w:w="931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61,36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7,8 %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74,8</w:t>
            </w:r>
          </w:p>
        </w:tc>
        <w:tc>
          <w:tcPr>
            <w:tcW w:w="931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50,25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32,82 %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31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49,08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на10,76 %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77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60,09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31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4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30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31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58,86</w:t>
            </w:r>
          </w:p>
        </w:tc>
        <w:tc>
          <w:tcPr>
            <w:tcW w:w="931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58,93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0,12 %</w:t>
            </w:r>
          </w:p>
        </w:tc>
      </w:tr>
    </w:tbl>
    <w:p w:rsidR="001874ED" w:rsidRDefault="00206DF0" w:rsidP="0034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C0" w:rsidRDefault="00341EC0" w:rsidP="00341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не набравших м</w:t>
      </w:r>
      <w:r w:rsidRPr="00341EC0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баллов, установленное </w:t>
      </w:r>
      <w:proofErr w:type="spellStart"/>
      <w:r w:rsidRPr="00341EC0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946F08" w:rsidRPr="00946F08" w:rsidTr="00946F08">
        <w:tc>
          <w:tcPr>
            <w:tcW w:w="2518" w:type="dxa"/>
          </w:tcPr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659" w:type="dxa"/>
          </w:tcPr>
          <w:p w:rsid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46F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08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</w:tr>
      <w:tr w:rsidR="00946F08" w:rsidRPr="00946F08" w:rsidTr="00946F08">
        <w:tc>
          <w:tcPr>
            <w:tcW w:w="2518" w:type="dxa"/>
          </w:tcPr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2659" w:type="dxa"/>
          </w:tcPr>
          <w:p w:rsidR="00946F08" w:rsidRPr="00946F08" w:rsidRDefault="00946F08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399" w:rsidRPr="00946F08" w:rsidTr="00946F08">
        <w:tc>
          <w:tcPr>
            <w:tcW w:w="2518" w:type="dxa"/>
            <w:vMerge w:val="restart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399" w:rsidRPr="00946F08" w:rsidTr="00946F08">
        <w:tc>
          <w:tcPr>
            <w:tcW w:w="2518" w:type="dxa"/>
            <w:vMerge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399" w:rsidRPr="00946F08" w:rsidTr="00946F08">
        <w:tc>
          <w:tcPr>
            <w:tcW w:w="2518" w:type="dxa"/>
            <w:vMerge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399" w:rsidRPr="00946F08" w:rsidTr="00946F08">
        <w:tc>
          <w:tcPr>
            <w:tcW w:w="2518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399" w:rsidRPr="00946F08" w:rsidTr="00946F08">
        <w:tc>
          <w:tcPr>
            <w:tcW w:w="2518" w:type="dxa"/>
            <w:vMerge w:val="restart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399" w:rsidRPr="00946F08" w:rsidTr="00946F08">
        <w:tc>
          <w:tcPr>
            <w:tcW w:w="2518" w:type="dxa"/>
            <w:vMerge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2659" w:type="dxa"/>
          </w:tcPr>
          <w:p w:rsidR="00694399" w:rsidRDefault="0069439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6C3" w:rsidRPr="00946F08" w:rsidTr="00946F08">
        <w:tc>
          <w:tcPr>
            <w:tcW w:w="2518" w:type="dxa"/>
            <w:vMerge w:val="restart"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2659" w:type="dxa"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6C3" w:rsidRPr="00946F08" w:rsidTr="00946F08">
        <w:tc>
          <w:tcPr>
            <w:tcW w:w="2518" w:type="dxa"/>
            <w:vMerge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56C3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3F56C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2659" w:type="dxa"/>
          </w:tcPr>
          <w:p w:rsidR="003F56C3" w:rsidRDefault="003F56C3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1EC0" w:rsidRDefault="00341EC0" w:rsidP="00CC6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7EA" w:rsidRDefault="006A37EA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</w:t>
      </w:r>
      <w:r w:rsidR="00791A12">
        <w:rPr>
          <w:rFonts w:ascii="Times New Roman" w:hAnsi="Times New Roman" w:cs="Times New Roman"/>
          <w:sz w:val="28"/>
          <w:szCs w:val="28"/>
        </w:rPr>
        <w:t>среднем общем образовании получили 57 выпускников 11 классов. По результатам успеваемости в 10 – 11 классах, успешной сдачи выпускных экзаменов в форме ЕГЭ, 6 выпускников получили аттестат с отличием и медаль «За особые успехи в учении».</w:t>
      </w: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ЕГЭ – 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аттестат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русскому языку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математике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 по русскому языку</w:t>
            </w:r>
          </w:p>
        </w:tc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191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C5F41" w:rsidTr="00361F51">
        <w:tc>
          <w:tcPr>
            <w:tcW w:w="3190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математике</w:t>
            </w:r>
          </w:p>
        </w:tc>
        <w:tc>
          <w:tcPr>
            <w:tcW w:w="3190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88,7 %</w:t>
            </w:r>
          </w:p>
        </w:tc>
        <w:tc>
          <w:tcPr>
            <w:tcW w:w="3191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C5F41" w:rsidTr="00361F51">
        <w:tc>
          <w:tcPr>
            <w:tcW w:w="3190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 по русскому языку</w:t>
            </w:r>
          </w:p>
        </w:tc>
        <w:tc>
          <w:tcPr>
            <w:tcW w:w="3190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3191" w:type="dxa"/>
          </w:tcPr>
          <w:p w:rsidR="00CC5F41" w:rsidRDefault="00CC5F4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02F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8417E" w:rsidTr="00361F51">
        <w:tc>
          <w:tcPr>
            <w:tcW w:w="3190" w:type="dxa"/>
          </w:tcPr>
          <w:p w:rsidR="0018417E" w:rsidRDefault="0018417E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</w:t>
            </w:r>
          </w:p>
        </w:tc>
        <w:tc>
          <w:tcPr>
            <w:tcW w:w="3190" w:type="dxa"/>
          </w:tcPr>
          <w:p w:rsidR="0018417E" w:rsidRDefault="009428A2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E2768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8417E" w:rsidRDefault="009428A2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02FB8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</w:tc>
      </w:tr>
      <w:tr w:rsidR="0018417E" w:rsidTr="00361F51">
        <w:tc>
          <w:tcPr>
            <w:tcW w:w="3190" w:type="dxa"/>
          </w:tcPr>
          <w:p w:rsidR="0018417E" w:rsidRDefault="0018417E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3190" w:type="dxa"/>
          </w:tcPr>
          <w:p w:rsidR="0018417E" w:rsidRDefault="0018417E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золото, 8 – серебро  </w:t>
            </w:r>
          </w:p>
        </w:tc>
        <w:tc>
          <w:tcPr>
            <w:tcW w:w="3191" w:type="dxa"/>
          </w:tcPr>
          <w:p w:rsidR="0018417E" w:rsidRDefault="0018417E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61F51" w:rsidRDefault="00361F51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Смоленской области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России</w:t>
            </w:r>
          </w:p>
        </w:tc>
      </w:tr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40,33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</w:tbl>
    <w:p w:rsidR="001874ED" w:rsidRDefault="001874ED" w:rsidP="00C02F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6BE" w:rsidRDefault="00BC46BE" w:rsidP="00B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18" w:rsidRDefault="003C6918" w:rsidP="005C6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EDD" w:rsidRDefault="00256EDD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92A" w:rsidRPr="00B27745" w:rsidRDefault="0094492A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92A" w:rsidRPr="00B2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C"/>
    <w:rsid w:val="00085E5C"/>
    <w:rsid w:val="000E72FB"/>
    <w:rsid w:val="00147EE3"/>
    <w:rsid w:val="0018417E"/>
    <w:rsid w:val="001874ED"/>
    <w:rsid w:val="00206DF0"/>
    <w:rsid w:val="00241502"/>
    <w:rsid w:val="00256EDD"/>
    <w:rsid w:val="00260A66"/>
    <w:rsid w:val="002847F2"/>
    <w:rsid w:val="00341EC0"/>
    <w:rsid w:val="00361F51"/>
    <w:rsid w:val="003C6918"/>
    <w:rsid w:val="003E5D20"/>
    <w:rsid w:val="003F56C3"/>
    <w:rsid w:val="00405856"/>
    <w:rsid w:val="005C6158"/>
    <w:rsid w:val="005D2CA3"/>
    <w:rsid w:val="005E4AF4"/>
    <w:rsid w:val="00694399"/>
    <w:rsid w:val="006A37EA"/>
    <w:rsid w:val="006C1FDC"/>
    <w:rsid w:val="00791A12"/>
    <w:rsid w:val="007C6157"/>
    <w:rsid w:val="007C62C3"/>
    <w:rsid w:val="00895693"/>
    <w:rsid w:val="00936E3C"/>
    <w:rsid w:val="009428A2"/>
    <w:rsid w:val="0094492A"/>
    <w:rsid w:val="00946F08"/>
    <w:rsid w:val="00B1298C"/>
    <w:rsid w:val="00B27745"/>
    <w:rsid w:val="00B9607B"/>
    <w:rsid w:val="00BC46BE"/>
    <w:rsid w:val="00C02FB8"/>
    <w:rsid w:val="00CC5F41"/>
    <w:rsid w:val="00CC61B4"/>
    <w:rsid w:val="00D7324D"/>
    <w:rsid w:val="00EE2768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507E-7613-4E27-A4F8-126C929F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2014-09-25T05:06:00Z</cp:lastPrinted>
  <dcterms:created xsi:type="dcterms:W3CDTF">2014-07-24T05:26:00Z</dcterms:created>
  <dcterms:modified xsi:type="dcterms:W3CDTF">2014-09-25T05:09:00Z</dcterms:modified>
</cp:coreProperties>
</file>